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before="156" w:beforeLines="50" w:line="500" w:lineRule="exact"/>
        <w:rPr>
          <w:rFonts w:hint="eastAsia" w:ascii="黑体" w:hAnsi="黑体" w:eastAsia="黑体"/>
          <w:bCs/>
          <w:color w:val="000000"/>
          <w:sz w:val="32"/>
          <w:szCs w:val="28"/>
        </w:rPr>
      </w:pPr>
      <w:bookmarkStart w:id="2" w:name="_GoBack"/>
      <w:bookmarkEnd w:id="2"/>
      <w:r>
        <w:rPr>
          <w:rFonts w:hint="eastAsia" w:ascii="黑体" w:hAnsi="黑体" w:eastAsia="黑体"/>
          <w:bCs/>
          <w:color w:val="000000"/>
          <w:sz w:val="32"/>
          <w:szCs w:val="28"/>
        </w:rPr>
        <w:t>附件1</w:t>
      </w:r>
    </w:p>
    <w:p>
      <w:pPr>
        <w:spacing w:before="156" w:beforeLines="50" w:line="500" w:lineRule="exact"/>
        <w:jc w:val="center"/>
        <w:rPr>
          <w:rFonts w:ascii="宋体"/>
          <w:b/>
          <w:color w:val="000000"/>
          <w:sz w:val="32"/>
          <w:szCs w:val="32"/>
        </w:rPr>
      </w:pPr>
      <w:r>
        <w:rPr>
          <w:rFonts w:hint="eastAsia" w:ascii="宋体" w:hAnsi="宋体"/>
          <w:b/>
          <w:color w:val="000000"/>
          <w:sz w:val="32"/>
          <w:szCs w:val="32"/>
        </w:rPr>
        <w:t>高校实验室安全管理现场检查项目表</w:t>
      </w:r>
    </w:p>
    <w:tbl>
      <w:tblPr>
        <w:tblStyle w:val="13"/>
        <w:tblW w:w="9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4762"/>
        <w:gridCol w:w="405"/>
        <w:gridCol w:w="419"/>
        <w:gridCol w:w="448"/>
        <w:gridCol w:w="396"/>
        <w:gridCol w:w="217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vMerge w:val="restart"/>
            <w:tcMar>
              <w:top w:w="28" w:type="dxa"/>
              <w:left w:w="28" w:type="dxa"/>
              <w:bottom w:w="28" w:type="dxa"/>
              <w:right w:w="28" w:type="dxa"/>
            </w:tcMar>
            <w:vAlign w:val="center"/>
          </w:tcPr>
          <w:p>
            <w:pPr>
              <w:widowControl/>
              <w:spacing w:line="240" w:lineRule="exact"/>
              <w:jc w:val="center"/>
              <w:rPr>
                <w:b/>
                <w:bCs/>
                <w:color w:val="000000"/>
                <w:kern w:val="0"/>
              </w:rPr>
            </w:pPr>
            <w:r>
              <w:rPr>
                <w:rFonts w:hint="eastAsia" w:hAnsi="宋体"/>
                <w:b/>
                <w:bCs/>
                <w:color w:val="000000"/>
                <w:kern w:val="0"/>
              </w:rPr>
              <w:t>序号</w:t>
            </w:r>
          </w:p>
        </w:tc>
        <w:tc>
          <w:tcPr>
            <w:tcW w:w="4762" w:type="dxa"/>
            <w:vMerge w:val="restart"/>
            <w:tcMar>
              <w:top w:w="28" w:type="dxa"/>
              <w:left w:w="28" w:type="dxa"/>
              <w:bottom w:w="28" w:type="dxa"/>
              <w:right w:w="28" w:type="dxa"/>
            </w:tcMar>
            <w:vAlign w:val="center"/>
          </w:tcPr>
          <w:p>
            <w:pPr>
              <w:widowControl/>
              <w:spacing w:line="240" w:lineRule="exact"/>
              <w:jc w:val="center"/>
              <w:rPr>
                <w:b/>
                <w:bCs/>
                <w:color w:val="000000"/>
                <w:kern w:val="0"/>
              </w:rPr>
            </w:pPr>
            <w:r>
              <w:rPr>
                <w:rFonts w:hint="eastAsia" w:hAnsi="宋体"/>
                <w:b/>
                <w:bCs/>
                <w:color w:val="000000"/>
                <w:kern w:val="0"/>
              </w:rPr>
              <w:t>检查项目</w:t>
            </w:r>
          </w:p>
        </w:tc>
        <w:tc>
          <w:tcPr>
            <w:tcW w:w="3847" w:type="dxa"/>
            <w:gridSpan w:val="6"/>
            <w:tcMar>
              <w:top w:w="28" w:type="dxa"/>
              <w:left w:w="28" w:type="dxa"/>
              <w:bottom w:w="28" w:type="dxa"/>
              <w:right w:w="28" w:type="dxa"/>
            </w:tcMar>
            <w:vAlign w:val="center"/>
          </w:tcPr>
          <w:p>
            <w:pPr>
              <w:spacing w:line="240" w:lineRule="exact"/>
              <w:jc w:val="center"/>
              <w:rPr>
                <w:b/>
                <w:bCs/>
                <w:color w:val="000000"/>
                <w:kern w:val="0"/>
              </w:rPr>
            </w:pPr>
            <w:r>
              <w:rPr>
                <w:rFonts w:hint="eastAsia" w:hAnsi="宋体"/>
                <w:b/>
                <w:bCs/>
                <w:color w:val="000000"/>
                <w:kern w:val="0"/>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1087" w:hRule="atLeast"/>
          <w:jc w:val="center"/>
        </w:trPr>
        <w:tc>
          <w:tcPr>
            <w:tcW w:w="874" w:type="dxa"/>
            <w:vMerge w:val="continue"/>
            <w:tcMar>
              <w:top w:w="28" w:type="dxa"/>
              <w:left w:w="28" w:type="dxa"/>
              <w:bottom w:w="28" w:type="dxa"/>
              <w:right w:w="28" w:type="dxa"/>
            </w:tcMar>
            <w:vAlign w:val="center"/>
          </w:tcPr>
          <w:p>
            <w:pPr>
              <w:widowControl/>
              <w:spacing w:line="240" w:lineRule="exact"/>
              <w:jc w:val="center"/>
              <w:rPr>
                <w:b/>
                <w:bCs/>
                <w:color w:val="000000"/>
                <w:kern w:val="0"/>
              </w:rPr>
            </w:pPr>
          </w:p>
        </w:tc>
        <w:tc>
          <w:tcPr>
            <w:tcW w:w="4762" w:type="dxa"/>
            <w:vMerge w:val="continue"/>
            <w:tcMar>
              <w:top w:w="28" w:type="dxa"/>
              <w:left w:w="28" w:type="dxa"/>
              <w:bottom w:w="28" w:type="dxa"/>
              <w:right w:w="28" w:type="dxa"/>
            </w:tcMar>
            <w:vAlign w:val="center"/>
          </w:tcPr>
          <w:p>
            <w:pPr>
              <w:widowControl/>
              <w:spacing w:line="240" w:lineRule="exact"/>
              <w:jc w:val="center"/>
              <w:rPr>
                <w:b/>
                <w:bCs/>
                <w:color w:val="000000"/>
                <w:kern w:val="0"/>
              </w:rPr>
            </w:pPr>
          </w:p>
        </w:tc>
        <w:tc>
          <w:tcPr>
            <w:tcW w:w="405" w:type="dxa"/>
            <w:tcMar>
              <w:top w:w="28" w:type="dxa"/>
              <w:left w:w="28" w:type="dxa"/>
              <w:bottom w:w="28" w:type="dxa"/>
              <w:right w:w="28" w:type="dxa"/>
            </w:tcMar>
            <w:vAlign w:val="center"/>
          </w:tcPr>
          <w:p>
            <w:pPr>
              <w:spacing w:line="240" w:lineRule="exact"/>
              <w:jc w:val="center"/>
              <w:rPr>
                <w:rFonts w:hAnsi="宋体"/>
                <w:b/>
                <w:bCs/>
                <w:color w:val="000000"/>
                <w:kern w:val="0"/>
              </w:rPr>
            </w:pPr>
            <w:r>
              <w:rPr>
                <w:rFonts w:hint="eastAsia" w:hAnsi="宋体"/>
                <w:b/>
                <w:bCs/>
                <w:color w:val="000000"/>
                <w:kern w:val="0"/>
              </w:rPr>
              <w:t>符</w:t>
            </w:r>
          </w:p>
          <w:p>
            <w:pPr>
              <w:spacing w:line="240" w:lineRule="exact"/>
              <w:jc w:val="center"/>
              <w:rPr>
                <w:b/>
                <w:bCs/>
                <w:color w:val="000000"/>
                <w:kern w:val="0"/>
              </w:rPr>
            </w:pPr>
          </w:p>
          <w:p>
            <w:pPr>
              <w:spacing w:line="240" w:lineRule="exact"/>
              <w:jc w:val="center"/>
              <w:rPr>
                <w:b/>
                <w:bCs/>
                <w:color w:val="000000"/>
                <w:kern w:val="0"/>
              </w:rPr>
            </w:pPr>
            <w:r>
              <w:rPr>
                <w:rFonts w:hint="eastAsia" w:hAnsi="宋体"/>
                <w:b/>
                <w:bCs/>
                <w:color w:val="000000"/>
                <w:kern w:val="0"/>
              </w:rPr>
              <w:t>合</w:t>
            </w:r>
          </w:p>
        </w:tc>
        <w:tc>
          <w:tcPr>
            <w:tcW w:w="419" w:type="dxa"/>
            <w:tcMar>
              <w:top w:w="28" w:type="dxa"/>
              <w:left w:w="28" w:type="dxa"/>
              <w:bottom w:w="28" w:type="dxa"/>
              <w:right w:w="28" w:type="dxa"/>
            </w:tcMar>
            <w:vAlign w:val="center"/>
          </w:tcPr>
          <w:p>
            <w:pPr>
              <w:spacing w:line="240" w:lineRule="exact"/>
              <w:jc w:val="center"/>
              <w:rPr>
                <w:b/>
                <w:bCs/>
                <w:color w:val="000000"/>
                <w:kern w:val="0"/>
              </w:rPr>
            </w:pPr>
            <w:r>
              <w:rPr>
                <w:rFonts w:hint="eastAsia" w:hAnsi="宋体"/>
                <w:b/>
                <w:bCs/>
                <w:color w:val="000000"/>
                <w:kern w:val="0"/>
              </w:rPr>
              <w:t>基</w:t>
            </w:r>
          </w:p>
          <w:p>
            <w:pPr>
              <w:spacing w:line="240" w:lineRule="exact"/>
              <w:jc w:val="center"/>
              <w:rPr>
                <w:b/>
                <w:bCs/>
                <w:color w:val="000000"/>
                <w:kern w:val="0"/>
              </w:rPr>
            </w:pPr>
            <w:r>
              <w:rPr>
                <w:rFonts w:hint="eastAsia" w:hAnsi="宋体"/>
                <w:b/>
                <w:bCs/>
                <w:color w:val="000000"/>
                <w:kern w:val="0"/>
              </w:rPr>
              <w:t>本</w:t>
            </w:r>
          </w:p>
          <w:p>
            <w:pPr>
              <w:spacing w:line="240" w:lineRule="exact"/>
              <w:jc w:val="center"/>
              <w:rPr>
                <w:b/>
                <w:bCs/>
                <w:color w:val="000000"/>
                <w:kern w:val="0"/>
              </w:rPr>
            </w:pPr>
            <w:r>
              <w:rPr>
                <w:rFonts w:hint="eastAsia" w:hAnsi="宋体"/>
                <w:b/>
                <w:bCs/>
                <w:color w:val="000000"/>
                <w:kern w:val="0"/>
              </w:rPr>
              <w:t>符</w:t>
            </w:r>
          </w:p>
          <w:p>
            <w:pPr>
              <w:spacing w:line="240" w:lineRule="exact"/>
              <w:jc w:val="center"/>
              <w:rPr>
                <w:b/>
                <w:bCs/>
                <w:color w:val="000000"/>
                <w:kern w:val="0"/>
              </w:rPr>
            </w:pPr>
            <w:r>
              <w:rPr>
                <w:rFonts w:hint="eastAsia" w:hAnsi="宋体"/>
                <w:b/>
                <w:bCs/>
                <w:color w:val="000000"/>
                <w:kern w:val="0"/>
              </w:rPr>
              <w:t>合</w:t>
            </w:r>
          </w:p>
        </w:tc>
        <w:tc>
          <w:tcPr>
            <w:tcW w:w="448" w:type="dxa"/>
            <w:tcMar>
              <w:top w:w="28" w:type="dxa"/>
              <w:left w:w="28" w:type="dxa"/>
              <w:bottom w:w="28" w:type="dxa"/>
              <w:right w:w="28" w:type="dxa"/>
            </w:tcMar>
            <w:vAlign w:val="center"/>
          </w:tcPr>
          <w:p>
            <w:pPr>
              <w:spacing w:line="240" w:lineRule="exact"/>
              <w:jc w:val="center"/>
              <w:rPr>
                <w:b/>
                <w:bCs/>
                <w:color w:val="000000"/>
                <w:kern w:val="0"/>
              </w:rPr>
            </w:pPr>
            <w:r>
              <w:rPr>
                <w:rFonts w:hint="eastAsia" w:hAnsi="宋体"/>
                <w:b/>
                <w:bCs/>
                <w:color w:val="000000"/>
                <w:kern w:val="0"/>
              </w:rPr>
              <w:t>不</w:t>
            </w:r>
          </w:p>
          <w:p>
            <w:pPr>
              <w:spacing w:line="240" w:lineRule="exact"/>
              <w:jc w:val="center"/>
              <w:rPr>
                <w:b/>
                <w:bCs/>
                <w:color w:val="000000"/>
                <w:kern w:val="0"/>
              </w:rPr>
            </w:pPr>
            <w:r>
              <w:rPr>
                <w:rFonts w:hint="eastAsia" w:hAnsi="宋体"/>
                <w:b/>
                <w:bCs/>
                <w:color w:val="000000"/>
                <w:kern w:val="0"/>
              </w:rPr>
              <w:t>符</w:t>
            </w:r>
          </w:p>
          <w:p>
            <w:pPr>
              <w:spacing w:line="240" w:lineRule="exact"/>
              <w:jc w:val="center"/>
              <w:rPr>
                <w:b/>
                <w:bCs/>
                <w:color w:val="000000"/>
                <w:kern w:val="0"/>
              </w:rPr>
            </w:pPr>
            <w:r>
              <w:rPr>
                <w:rFonts w:hint="eastAsia" w:hAnsi="宋体"/>
                <w:b/>
                <w:bCs/>
                <w:color w:val="000000"/>
                <w:kern w:val="0"/>
              </w:rPr>
              <w:t>合</w:t>
            </w:r>
          </w:p>
        </w:tc>
        <w:tc>
          <w:tcPr>
            <w:tcW w:w="396" w:type="dxa"/>
            <w:tcMar>
              <w:top w:w="28" w:type="dxa"/>
              <w:left w:w="28" w:type="dxa"/>
              <w:bottom w:w="28" w:type="dxa"/>
              <w:right w:w="28" w:type="dxa"/>
            </w:tcMar>
            <w:vAlign w:val="center"/>
          </w:tcPr>
          <w:p>
            <w:pPr>
              <w:spacing w:line="240" w:lineRule="exact"/>
              <w:jc w:val="center"/>
              <w:rPr>
                <w:b/>
                <w:bCs/>
                <w:color w:val="000000"/>
                <w:kern w:val="0"/>
              </w:rPr>
            </w:pPr>
            <w:r>
              <w:rPr>
                <w:rFonts w:hint="eastAsia" w:hAnsi="宋体"/>
                <w:b/>
                <w:bCs/>
                <w:color w:val="000000"/>
                <w:kern w:val="0"/>
              </w:rPr>
              <w:t>不</w:t>
            </w:r>
          </w:p>
          <w:p>
            <w:pPr>
              <w:spacing w:line="240" w:lineRule="exact"/>
              <w:jc w:val="center"/>
              <w:rPr>
                <w:b/>
                <w:bCs/>
                <w:color w:val="000000"/>
                <w:kern w:val="0"/>
              </w:rPr>
            </w:pPr>
            <w:r>
              <w:rPr>
                <w:rFonts w:hint="eastAsia" w:hAnsi="宋体"/>
                <w:b/>
                <w:bCs/>
                <w:color w:val="000000"/>
                <w:kern w:val="0"/>
              </w:rPr>
              <w:t>适</w:t>
            </w:r>
          </w:p>
          <w:p>
            <w:pPr>
              <w:spacing w:line="240" w:lineRule="exact"/>
              <w:jc w:val="center"/>
              <w:rPr>
                <w:b/>
                <w:bCs/>
                <w:color w:val="000000"/>
                <w:kern w:val="0"/>
              </w:rPr>
            </w:pPr>
            <w:r>
              <w:rPr>
                <w:rFonts w:hint="eastAsia" w:hAnsi="宋体"/>
                <w:b/>
                <w:bCs/>
                <w:color w:val="000000"/>
                <w:kern w:val="0"/>
              </w:rPr>
              <w:t>用</w:t>
            </w:r>
          </w:p>
        </w:tc>
        <w:tc>
          <w:tcPr>
            <w:tcW w:w="2173" w:type="dxa"/>
            <w:tcMar>
              <w:top w:w="28" w:type="dxa"/>
              <w:left w:w="28" w:type="dxa"/>
              <w:bottom w:w="28" w:type="dxa"/>
              <w:right w:w="28" w:type="dxa"/>
            </w:tcMar>
            <w:vAlign w:val="center"/>
          </w:tcPr>
          <w:p>
            <w:pPr>
              <w:spacing w:line="240" w:lineRule="exact"/>
              <w:jc w:val="center"/>
              <w:rPr>
                <w:b/>
                <w:bCs/>
                <w:color w:val="000000"/>
                <w:kern w:val="0"/>
              </w:rPr>
            </w:pPr>
            <w:r>
              <w:rPr>
                <w:rFonts w:hint="eastAsia" w:hAnsi="宋体"/>
                <w:b/>
                <w:bCs/>
                <w:color w:val="000000"/>
                <w:kern w:val="0"/>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hAnsi="宋体"/>
                <w:b/>
                <w:color w:val="000000"/>
                <w:kern w:val="0"/>
              </w:rPr>
              <w:t>组织体系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rFonts w:ascii="宋体" w:cs="宋体"/>
                <w:b/>
                <w:color w:val="000000"/>
                <w:kern w:val="0"/>
              </w:rPr>
            </w:pPr>
            <w:r>
              <w:rPr>
                <w:b/>
                <w:color w:val="000000"/>
                <w:kern w:val="0"/>
              </w:rPr>
              <w:t>1.1</w:t>
            </w:r>
          </w:p>
        </w:tc>
        <w:tc>
          <w:tcPr>
            <w:tcW w:w="8609" w:type="dxa"/>
            <w:gridSpan w:val="7"/>
            <w:tcMar>
              <w:top w:w="28" w:type="dxa"/>
              <w:left w:w="28" w:type="dxa"/>
              <w:bottom w:w="28" w:type="dxa"/>
              <w:right w:w="28" w:type="dxa"/>
            </w:tcMar>
            <w:vAlign w:val="center"/>
          </w:tcPr>
          <w:p>
            <w:pPr>
              <w:widowControl/>
              <w:spacing w:line="240" w:lineRule="exact"/>
              <w:jc w:val="left"/>
              <w:rPr>
                <w:rFonts w:ascii="宋体" w:cs="宋体"/>
                <w:b/>
                <w:color w:val="000000"/>
                <w:kern w:val="0"/>
              </w:rPr>
            </w:pPr>
            <w:r>
              <w:rPr>
                <w:rFonts w:hint="eastAsia" w:ascii="宋体" w:hAnsi="宋体" w:cs="宋体"/>
                <w:b/>
                <w:color w:val="000000"/>
                <w:kern w:val="0"/>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1.1.1</w:t>
            </w:r>
          </w:p>
        </w:tc>
        <w:tc>
          <w:tcPr>
            <w:tcW w:w="4762" w:type="dxa"/>
            <w:tcMar>
              <w:top w:w="28" w:type="dxa"/>
              <w:left w:w="28" w:type="dxa"/>
              <w:bottom w:w="28" w:type="dxa"/>
              <w:right w:w="28" w:type="dxa"/>
            </w:tcMar>
            <w:vAlign w:val="center"/>
          </w:tcPr>
          <w:p>
            <w:pPr>
              <w:widowControl/>
              <w:spacing w:line="240" w:lineRule="exact"/>
              <w:jc w:val="left"/>
              <w:rPr>
                <w:rFonts w:ascii="宋体" w:cs="宋体"/>
                <w:b/>
                <w:color w:val="000000"/>
                <w:kern w:val="0"/>
              </w:rPr>
            </w:pPr>
            <w:r>
              <w:rPr>
                <w:rFonts w:hint="eastAsia" w:ascii="宋体" w:hAnsi="宋体" w:cs="宋体"/>
                <w:color w:val="000000"/>
                <w:kern w:val="0"/>
              </w:rPr>
              <w:t>有校级实验室安全工作领导机构</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1.1.2</w:t>
            </w:r>
          </w:p>
        </w:tc>
        <w:tc>
          <w:tcPr>
            <w:tcW w:w="4762" w:type="dxa"/>
            <w:tcMar>
              <w:top w:w="28" w:type="dxa"/>
              <w:left w:w="28" w:type="dxa"/>
              <w:bottom w:w="28" w:type="dxa"/>
              <w:right w:w="28" w:type="dxa"/>
            </w:tcMar>
            <w:vAlign w:val="center"/>
          </w:tcPr>
          <w:p>
            <w:pPr>
              <w:widowControl/>
              <w:spacing w:line="240" w:lineRule="exact"/>
              <w:jc w:val="left"/>
              <w:rPr>
                <w:rFonts w:ascii="宋体" w:cs="宋体"/>
                <w:b/>
                <w:color w:val="000000"/>
                <w:kern w:val="0"/>
              </w:rPr>
            </w:pPr>
            <w:r>
              <w:rPr>
                <w:rFonts w:hint="eastAsia" w:ascii="宋体" w:hAnsi="宋体" w:cs="宋体"/>
                <w:color w:val="000000"/>
                <w:kern w:val="0"/>
              </w:rPr>
              <w:t>实验室安全工作领导机构由校长或分管校长挂帅，相关职能部门参与，设办公室</w:t>
            </w:r>
          </w:p>
        </w:tc>
        <w:tc>
          <w:tcPr>
            <w:tcW w:w="405" w:type="dxa"/>
            <w:tcMar>
              <w:top w:w="28" w:type="dxa"/>
              <w:left w:w="28" w:type="dxa"/>
              <w:bottom w:w="28" w:type="dxa"/>
              <w:right w:w="28" w:type="dxa"/>
            </w:tcMar>
            <w:vAlign w:val="center"/>
          </w:tcPr>
          <w:p>
            <w:pPr>
              <w:widowControl/>
              <w:spacing w:line="240" w:lineRule="exact"/>
              <w:jc w:val="center"/>
              <w:rPr>
                <w:color w:val="00000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1.1.3</w:t>
            </w:r>
          </w:p>
        </w:tc>
        <w:tc>
          <w:tcPr>
            <w:tcW w:w="4762" w:type="dxa"/>
            <w:tcMar>
              <w:top w:w="28" w:type="dxa"/>
              <w:left w:w="28" w:type="dxa"/>
              <w:bottom w:w="28" w:type="dxa"/>
              <w:right w:w="28" w:type="dxa"/>
            </w:tcMar>
            <w:vAlign w:val="center"/>
          </w:tcPr>
          <w:p>
            <w:pPr>
              <w:widowControl/>
              <w:spacing w:line="240" w:lineRule="exact"/>
              <w:jc w:val="left"/>
              <w:rPr>
                <w:rFonts w:ascii="宋体" w:cs="宋体"/>
                <w:color w:val="000000"/>
                <w:kern w:val="0"/>
              </w:rPr>
            </w:pPr>
            <w:r>
              <w:rPr>
                <w:rFonts w:hint="eastAsia" w:ascii="宋体" w:hAnsi="宋体" w:cs="宋体"/>
                <w:color w:val="000000"/>
                <w:kern w:val="0"/>
              </w:rPr>
              <w:t>有</w:t>
            </w:r>
            <w:r>
              <w:rPr>
                <w:rFonts w:hint="eastAsia" w:ascii="Times New Roman" w:hAnsi="宋体"/>
                <w:color w:val="000000"/>
                <w:kern w:val="0"/>
              </w:rPr>
              <w:t>处级</w:t>
            </w:r>
            <w:r>
              <w:rPr>
                <w:rFonts w:hint="eastAsia" w:ascii="宋体" w:hAnsi="宋体" w:cs="宋体"/>
                <w:color w:val="000000"/>
                <w:kern w:val="0"/>
              </w:rPr>
              <w:t>管理部门</w:t>
            </w:r>
            <w:r>
              <w:rPr>
                <w:rFonts w:hint="eastAsia" w:ascii="Times New Roman" w:hAnsi="宋体"/>
                <w:color w:val="000000"/>
                <w:kern w:val="0"/>
              </w:rPr>
              <w:t>管理实验室安全工作</w:t>
            </w:r>
          </w:p>
        </w:tc>
        <w:tc>
          <w:tcPr>
            <w:tcW w:w="405" w:type="dxa"/>
            <w:tcMar>
              <w:top w:w="28" w:type="dxa"/>
              <w:left w:w="28" w:type="dxa"/>
              <w:bottom w:w="28" w:type="dxa"/>
              <w:right w:w="28" w:type="dxa"/>
            </w:tcMar>
            <w:vAlign w:val="center"/>
          </w:tcPr>
          <w:p>
            <w:pPr>
              <w:widowControl/>
              <w:spacing w:line="240" w:lineRule="exact"/>
              <w:jc w:val="center"/>
              <w:rPr>
                <w:color w:val="00000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1.1.4</w:t>
            </w:r>
          </w:p>
        </w:tc>
        <w:tc>
          <w:tcPr>
            <w:tcW w:w="4762" w:type="dxa"/>
            <w:tcMar>
              <w:top w:w="28" w:type="dxa"/>
              <w:left w:w="28" w:type="dxa"/>
              <w:bottom w:w="28" w:type="dxa"/>
              <w:right w:w="28" w:type="dxa"/>
            </w:tcMar>
            <w:vAlign w:val="center"/>
          </w:tcPr>
          <w:p>
            <w:pPr>
              <w:widowControl/>
              <w:spacing w:line="240" w:lineRule="exact"/>
              <w:jc w:val="left"/>
              <w:rPr>
                <w:rFonts w:ascii="宋体" w:cs="宋体"/>
                <w:color w:val="000000"/>
                <w:kern w:val="0"/>
              </w:rPr>
            </w:pPr>
            <w:r>
              <w:rPr>
                <w:rFonts w:hint="eastAsia" w:ascii="宋体" w:hAnsi="宋体" w:cs="宋体"/>
                <w:color w:val="000000"/>
                <w:kern w:val="0"/>
              </w:rPr>
              <w:t>设实验室安全管理科室（</w:t>
            </w:r>
            <w:r>
              <w:rPr>
                <w:rFonts w:ascii="宋体" w:hAnsi="宋体" w:cs="宋体"/>
                <w:color w:val="000000"/>
                <w:kern w:val="0"/>
              </w:rPr>
              <w:t>3</w:t>
            </w:r>
            <w:r>
              <w:rPr>
                <w:rFonts w:hint="eastAsia" w:ascii="宋体" w:hAnsi="宋体" w:cs="宋体"/>
                <w:color w:val="000000"/>
                <w:kern w:val="0"/>
              </w:rPr>
              <w:t>万学生规模以上），或有专职的实验室安全管理人员（</w:t>
            </w:r>
            <w:r>
              <w:rPr>
                <w:rFonts w:ascii="宋体" w:hAnsi="宋体" w:cs="宋体"/>
                <w:color w:val="000000"/>
                <w:kern w:val="0"/>
              </w:rPr>
              <w:t>1-3</w:t>
            </w:r>
            <w:r>
              <w:rPr>
                <w:rFonts w:hint="eastAsia" w:ascii="宋体" w:hAnsi="宋体" w:cs="宋体"/>
                <w:color w:val="000000"/>
                <w:kern w:val="0"/>
              </w:rPr>
              <w:t>万学生规模配</w:t>
            </w:r>
            <w:r>
              <w:rPr>
                <w:rFonts w:ascii="宋体" w:hAnsi="宋体" w:cs="宋体"/>
                <w:color w:val="000000"/>
                <w:kern w:val="0"/>
              </w:rPr>
              <w:t>2</w:t>
            </w:r>
            <w:r>
              <w:rPr>
                <w:rFonts w:hint="eastAsia" w:ascii="宋体" w:hAnsi="宋体" w:cs="宋体"/>
                <w:color w:val="000000"/>
                <w:kern w:val="0"/>
              </w:rPr>
              <w:t>名以上，</w:t>
            </w:r>
            <w:r>
              <w:rPr>
                <w:rFonts w:ascii="宋体" w:hAnsi="宋体" w:cs="宋体"/>
                <w:color w:val="000000"/>
                <w:kern w:val="0"/>
              </w:rPr>
              <w:t>1</w:t>
            </w:r>
            <w:r>
              <w:rPr>
                <w:rFonts w:hint="eastAsia" w:ascii="宋体" w:hAnsi="宋体" w:cs="宋体"/>
                <w:color w:val="000000"/>
                <w:kern w:val="0"/>
              </w:rPr>
              <w:t>万以下学生规模至少配</w:t>
            </w:r>
            <w:r>
              <w:rPr>
                <w:rFonts w:ascii="宋体" w:hAnsi="宋体" w:cs="宋体"/>
                <w:color w:val="000000"/>
                <w:kern w:val="0"/>
              </w:rPr>
              <w:t>1</w:t>
            </w:r>
            <w:r>
              <w:rPr>
                <w:rFonts w:hint="eastAsia" w:ascii="宋体" w:hAnsi="宋体" w:cs="宋体"/>
                <w:color w:val="000000"/>
                <w:kern w:val="0"/>
              </w:rPr>
              <w:t>名）</w:t>
            </w:r>
          </w:p>
        </w:tc>
        <w:tc>
          <w:tcPr>
            <w:tcW w:w="405" w:type="dxa"/>
            <w:tcMar>
              <w:top w:w="28" w:type="dxa"/>
              <w:left w:w="28" w:type="dxa"/>
              <w:bottom w:w="28" w:type="dxa"/>
              <w:right w:w="28" w:type="dxa"/>
            </w:tcMar>
            <w:vAlign w:val="center"/>
          </w:tcPr>
          <w:p>
            <w:pPr>
              <w:widowControl/>
              <w:spacing w:line="240" w:lineRule="exact"/>
              <w:jc w:val="center"/>
              <w:rPr>
                <w:color w:val="00000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1.1.5</w:t>
            </w:r>
          </w:p>
        </w:tc>
        <w:tc>
          <w:tcPr>
            <w:tcW w:w="4762" w:type="dxa"/>
            <w:tcMar>
              <w:top w:w="28" w:type="dxa"/>
              <w:left w:w="28" w:type="dxa"/>
              <w:bottom w:w="28" w:type="dxa"/>
              <w:right w:w="28" w:type="dxa"/>
            </w:tcMar>
            <w:vAlign w:val="center"/>
          </w:tcPr>
          <w:p>
            <w:pPr>
              <w:widowControl/>
              <w:spacing w:line="240" w:lineRule="exact"/>
              <w:jc w:val="left"/>
              <w:rPr>
                <w:rFonts w:ascii="宋体" w:cs="宋体"/>
                <w:b/>
                <w:color w:val="000000"/>
                <w:kern w:val="0"/>
              </w:rPr>
            </w:pPr>
            <w:r>
              <w:rPr>
                <w:rFonts w:hint="eastAsia" w:ascii="宋体" w:hAnsi="宋体" w:cs="宋体"/>
                <w:color w:val="000000"/>
                <w:kern w:val="0"/>
              </w:rPr>
              <w:t>有教师（含退休回聘）或学生组成的实验室安全督查</w:t>
            </w:r>
            <w:r>
              <w:rPr>
                <w:rFonts w:ascii="宋体" w:hAnsi="宋体" w:cs="宋体"/>
                <w:color w:val="000000"/>
                <w:kern w:val="0"/>
              </w:rPr>
              <w:t>/</w:t>
            </w:r>
            <w:r>
              <w:rPr>
                <w:rFonts w:hint="eastAsia" w:ascii="宋体" w:hAnsi="宋体" w:cs="宋体"/>
                <w:color w:val="000000"/>
                <w:kern w:val="0"/>
              </w:rPr>
              <w:t>协查队伍</w:t>
            </w:r>
          </w:p>
        </w:tc>
        <w:tc>
          <w:tcPr>
            <w:tcW w:w="405" w:type="dxa"/>
            <w:tcMar>
              <w:top w:w="28" w:type="dxa"/>
              <w:left w:w="28" w:type="dxa"/>
              <w:bottom w:w="28" w:type="dxa"/>
              <w:right w:w="28" w:type="dxa"/>
            </w:tcMar>
            <w:vAlign w:val="center"/>
          </w:tcPr>
          <w:p>
            <w:pPr>
              <w:widowControl/>
              <w:spacing w:line="240" w:lineRule="exact"/>
              <w:jc w:val="center"/>
              <w:rPr>
                <w:color w:val="00000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rFonts w:ascii="宋体" w:cs="宋体"/>
                <w:color w:val="000000"/>
                <w:kern w:val="0"/>
              </w:rPr>
            </w:pPr>
            <w:r>
              <w:rPr>
                <w:color w:val="000000"/>
                <w:kern w:val="0"/>
              </w:rPr>
              <w:t>1.1.6</w:t>
            </w:r>
          </w:p>
        </w:tc>
        <w:tc>
          <w:tcPr>
            <w:tcW w:w="4762" w:type="dxa"/>
            <w:tcMar>
              <w:top w:w="28" w:type="dxa"/>
              <w:left w:w="28" w:type="dxa"/>
              <w:bottom w:w="28" w:type="dxa"/>
              <w:right w:w="28" w:type="dxa"/>
            </w:tcMar>
            <w:vAlign w:val="center"/>
          </w:tcPr>
          <w:p>
            <w:pPr>
              <w:widowControl/>
              <w:spacing w:line="240" w:lineRule="exact"/>
              <w:jc w:val="left"/>
              <w:rPr>
                <w:rFonts w:ascii="宋体" w:cs="宋体"/>
                <w:color w:val="000000"/>
                <w:kern w:val="0"/>
              </w:rPr>
            </w:pPr>
            <w:r>
              <w:rPr>
                <w:rFonts w:hint="eastAsia" w:ascii="宋体" w:hAnsi="宋体" w:cs="宋体"/>
                <w:color w:val="000000"/>
                <w:kern w:val="0"/>
              </w:rPr>
              <w:t>学校与二级单位签订实验室安全管理责任书</w:t>
            </w:r>
          </w:p>
        </w:tc>
        <w:tc>
          <w:tcPr>
            <w:tcW w:w="405" w:type="dxa"/>
            <w:tcMar>
              <w:top w:w="28" w:type="dxa"/>
              <w:left w:w="28" w:type="dxa"/>
              <w:bottom w:w="28" w:type="dxa"/>
              <w:right w:w="28" w:type="dxa"/>
            </w:tcMar>
            <w:vAlign w:val="center"/>
          </w:tcPr>
          <w:p>
            <w:pPr>
              <w:widowControl/>
              <w:spacing w:line="240" w:lineRule="exact"/>
              <w:jc w:val="center"/>
              <w:rPr>
                <w:color w:val="00000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1.2</w:t>
            </w:r>
          </w:p>
        </w:tc>
        <w:tc>
          <w:tcPr>
            <w:tcW w:w="4762" w:type="dxa"/>
            <w:tcMar>
              <w:top w:w="28" w:type="dxa"/>
              <w:left w:w="28" w:type="dxa"/>
              <w:bottom w:w="28" w:type="dxa"/>
              <w:right w:w="28" w:type="dxa"/>
            </w:tcMar>
            <w:vAlign w:val="center"/>
          </w:tcPr>
          <w:p>
            <w:pPr>
              <w:widowControl/>
              <w:spacing w:line="240" w:lineRule="exact"/>
              <w:rPr>
                <w:b/>
                <w:color w:val="000000"/>
                <w:kern w:val="0"/>
              </w:rPr>
            </w:pPr>
            <w:r>
              <w:rPr>
                <w:rFonts w:hint="eastAsia" w:hAnsi="宋体"/>
                <w:b/>
                <w:color w:val="000000"/>
                <w:kern w:val="0"/>
              </w:rPr>
              <w:t>院系层面安全责任体系</w:t>
            </w:r>
          </w:p>
        </w:tc>
        <w:tc>
          <w:tcPr>
            <w:tcW w:w="405" w:type="dxa"/>
            <w:tcMar>
              <w:top w:w="28" w:type="dxa"/>
              <w:left w:w="28" w:type="dxa"/>
              <w:bottom w:w="28" w:type="dxa"/>
              <w:right w:w="28" w:type="dxa"/>
            </w:tcMar>
            <w:vAlign w:val="center"/>
          </w:tcPr>
          <w:p>
            <w:pPr>
              <w:widowControl/>
              <w:spacing w:line="240" w:lineRule="exact"/>
              <w:jc w:val="center"/>
              <w:rPr>
                <w:color w:val="00000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成立实验室安全领导小组，由党政一把手挂帅，研究所（实验室）负责人参加</w:t>
            </w:r>
          </w:p>
        </w:tc>
        <w:tc>
          <w:tcPr>
            <w:tcW w:w="405" w:type="dxa"/>
            <w:tcMar>
              <w:top w:w="28" w:type="dxa"/>
              <w:left w:w="28" w:type="dxa"/>
              <w:bottom w:w="28" w:type="dxa"/>
              <w:right w:w="28" w:type="dxa"/>
            </w:tcMar>
            <w:vAlign w:val="center"/>
          </w:tcPr>
          <w:p>
            <w:pPr>
              <w:widowControl/>
              <w:spacing w:line="240" w:lineRule="exact"/>
              <w:jc w:val="center"/>
              <w:rPr>
                <w:color w:val="00000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院系有专兼职实验室秘书或管理人员（非文科院系是兼职的填</w:t>
            </w:r>
            <w:r>
              <w:rPr>
                <w:color w:val="000000"/>
                <w:kern w:val="0"/>
              </w:rPr>
              <w:t>“</w:t>
            </w:r>
            <w:r>
              <w:rPr>
                <w:rFonts w:hint="eastAsia" w:hAnsi="宋体"/>
                <w:color w:val="000000"/>
                <w:kern w:val="0"/>
              </w:rPr>
              <w:t>基本符合</w:t>
            </w:r>
            <w:r>
              <w:rPr>
                <w:color w:val="000000"/>
                <w:kern w:val="0"/>
              </w:rPr>
              <w:t>”</w:t>
            </w:r>
            <w:r>
              <w:rPr>
                <w:rFonts w:hint="eastAsia" w:hAnsi="宋体"/>
                <w:color w:val="000000"/>
                <w:kern w:val="0"/>
              </w:rPr>
              <w:t>）</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建立研究所（实验）室层面的安全责任体系，所有房间（包括分布在主校区和其它校区）都需明确安全责任人</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1.2.4</w:t>
            </w:r>
          </w:p>
        </w:tc>
        <w:tc>
          <w:tcPr>
            <w:tcW w:w="4762" w:type="dxa"/>
            <w:tcMar>
              <w:top w:w="28" w:type="dxa"/>
              <w:left w:w="28" w:type="dxa"/>
              <w:bottom w:w="28" w:type="dxa"/>
              <w:right w:w="28" w:type="dxa"/>
            </w:tcMar>
            <w:vAlign w:val="center"/>
          </w:tcPr>
          <w:p>
            <w:pPr>
              <w:widowControl/>
              <w:spacing w:line="240" w:lineRule="exact"/>
              <w:jc w:val="left"/>
              <w:rPr>
                <w:rFonts w:hAnsi="宋体"/>
                <w:color w:val="000000"/>
                <w:kern w:val="0"/>
              </w:rPr>
            </w:pPr>
            <w:r>
              <w:rPr>
                <w:rFonts w:hint="eastAsia" w:ascii="宋体" w:hAnsi="宋体" w:cs="宋体"/>
                <w:color w:val="000000"/>
                <w:kern w:val="0"/>
              </w:rPr>
              <w:t>院系与下属单位或个人签订了实验室安全管理责任书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bCs/>
                <w:color w:val="000000"/>
                <w:kern w:val="0"/>
              </w:rPr>
            </w:pPr>
            <w:r>
              <w:rPr>
                <w:b/>
                <w:bCs/>
                <w:color w:val="000000"/>
                <w:kern w:val="0"/>
              </w:rPr>
              <w:t>1.3</w:t>
            </w:r>
          </w:p>
        </w:tc>
        <w:tc>
          <w:tcPr>
            <w:tcW w:w="8609" w:type="dxa"/>
            <w:gridSpan w:val="7"/>
            <w:tcMar>
              <w:top w:w="28" w:type="dxa"/>
              <w:left w:w="28" w:type="dxa"/>
              <w:bottom w:w="28" w:type="dxa"/>
              <w:right w:w="28" w:type="dxa"/>
            </w:tcMar>
            <w:vAlign w:val="center"/>
          </w:tcPr>
          <w:p>
            <w:pPr>
              <w:widowControl/>
              <w:spacing w:line="240" w:lineRule="exact"/>
              <w:jc w:val="left"/>
              <w:rPr>
                <w:b/>
                <w:bCs/>
                <w:color w:val="000000"/>
                <w:kern w:val="0"/>
              </w:rPr>
            </w:pPr>
            <w:r>
              <w:rPr>
                <w:rFonts w:hint="eastAsia" w:hAnsi="宋体"/>
                <w:b/>
                <w:bCs/>
                <w:color w:val="000000"/>
                <w:kern w:val="0"/>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1.3.1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每年有实验室安全常规经费预算</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1.3.2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有专项经费或自筹经费投入实验室安全建设与管理</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2</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hAnsi="宋体"/>
                <w:b/>
                <w:color w:val="000000"/>
                <w:kern w:val="0"/>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2.1</w:t>
            </w:r>
          </w:p>
        </w:tc>
        <w:tc>
          <w:tcPr>
            <w:tcW w:w="4762" w:type="dxa"/>
            <w:tcMar>
              <w:top w:w="28" w:type="dxa"/>
              <w:left w:w="28" w:type="dxa"/>
              <w:bottom w:w="28" w:type="dxa"/>
              <w:right w:w="28" w:type="dxa"/>
            </w:tcMar>
            <w:vAlign w:val="center"/>
          </w:tcPr>
          <w:p>
            <w:pPr>
              <w:widowControl/>
              <w:spacing w:line="240" w:lineRule="exact"/>
              <w:jc w:val="left"/>
              <w:rPr>
                <w:b/>
                <w:color w:val="000000"/>
                <w:kern w:val="0"/>
              </w:rPr>
            </w:pPr>
            <w:r>
              <w:rPr>
                <w:rFonts w:hint="eastAsia" w:hAnsi="宋体"/>
                <w:b/>
                <w:color w:val="000000"/>
                <w:kern w:val="0"/>
              </w:rPr>
              <w:t>校级层面实验室安全管理制度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Cs/>
                <w:color w:val="000000"/>
                <w:kern w:val="0"/>
              </w:rPr>
            </w:pPr>
            <w:r>
              <w:rPr>
                <w:bCs/>
                <w:color w:val="000000"/>
                <w:kern w:val="0"/>
              </w:rPr>
              <w:t>2.1.1</w:t>
            </w:r>
          </w:p>
        </w:tc>
        <w:tc>
          <w:tcPr>
            <w:tcW w:w="4762" w:type="dxa"/>
            <w:tcMar>
              <w:top w:w="28" w:type="dxa"/>
              <w:left w:w="28" w:type="dxa"/>
              <w:bottom w:w="28" w:type="dxa"/>
              <w:right w:w="28" w:type="dxa"/>
            </w:tcMar>
            <w:vAlign w:val="center"/>
          </w:tcPr>
          <w:p>
            <w:pPr>
              <w:widowControl/>
              <w:spacing w:line="240" w:lineRule="exact"/>
              <w:jc w:val="left"/>
              <w:rPr>
                <w:bCs/>
                <w:color w:val="000000"/>
                <w:kern w:val="0"/>
              </w:rPr>
            </w:pPr>
            <w:r>
              <w:rPr>
                <w:rFonts w:hint="eastAsia" w:hAnsi="宋体"/>
                <w:bCs/>
                <w:color w:val="000000"/>
                <w:kern w:val="0"/>
              </w:rPr>
              <w:t>有实验室技术安全管理办法</w:t>
            </w:r>
          </w:p>
        </w:tc>
        <w:tc>
          <w:tcPr>
            <w:tcW w:w="405" w:type="dxa"/>
            <w:tcMar>
              <w:top w:w="28" w:type="dxa"/>
              <w:left w:w="28" w:type="dxa"/>
              <w:bottom w:w="28" w:type="dxa"/>
              <w:right w:w="28" w:type="dxa"/>
            </w:tcMar>
            <w:vAlign w:val="center"/>
          </w:tcPr>
          <w:p>
            <w:pPr>
              <w:widowControl/>
              <w:spacing w:line="240" w:lineRule="exact"/>
              <w:jc w:val="center"/>
              <w:rPr>
                <w:bCs/>
                <w:color w:val="000000"/>
                <w:kern w:val="0"/>
              </w:rPr>
            </w:pPr>
          </w:p>
        </w:tc>
        <w:tc>
          <w:tcPr>
            <w:tcW w:w="419" w:type="dxa"/>
            <w:tcMar>
              <w:top w:w="28" w:type="dxa"/>
              <w:left w:w="28" w:type="dxa"/>
              <w:bottom w:w="28" w:type="dxa"/>
              <w:right w:w="28" w:type="dxa"/>
            </w:tcMar>
            <w:vAlign w:val="center"/>
          </w:tcPr>
          <w:p>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pPr>
              <w:widowControl/>
              <w:spacing w:line="240" w:lineRule="exact"/>
              <w:jc w:val="center"/>
              <w:rPr>
                <w:bCs/>
                <w:color w:val="000000"/>
                <w:kern w:val="0"/>
              </w:rPr>
            </w:pPr>
          </w:p>
        </w:tc>
        <w:tc>
          <w:tcPr>
            <w:tcW w:w="396" w:type="dxa"/>
            <w:tcMar>
              <w:top w:w="28" w:type="dxa"/>
              <w:left w:w="28" w:type="dxa"/>
              <w:bottom w:w="28" w:type="dxa"/>
              <w:right w:w="28" w:type="dxa"/>
            </w:tcMar>
            <w:vAlign w:val="center"/>
          </w:tcPr>
          <w:p>
            <w:pPr>
              <w:widowControl/>
              <w:spacing w:line="240" w:lineRule="exact"/>
              <w:jc w:val="center"/>
              <w:rPr>
                <w:bCs/>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Cs/>
                <w:color w:val="000000"/>
                <w:kern w:val="0"/>
              </w:rPr>
            </w:pPr>
            <w:r>
              <w:rPr>
                <w:bCs/>
                <w:color w:val="000000"/>
                <w:kern w:val="0"/>
              </w:rPr>
              <w:t>2.1.2</w:t>
            </w:r>
          </w:p>
        </w:tc>
        <w:tc>
          <w:tcPr>
            <w:tcW w:w="4762" w:type="dxa"/>
            <w:tcMar>
              <w:top w:w="28" w:type="dxa"/>
              <w:left w:w="28" w:type="dxa"/>
              <w:bottom w:w="28" w:type="dxa"/>
              <w:right w:w="28" w:type="dxa"/>
            </w:tcMar>
            <w:vAlign w:val="center"/>
          </w:tcPr>
          <w:p>
            <w:pPr>
              <w:widowControl/>
              <w:spacing w:line="240" w:lineRule="exact"/>
              <w:jc w:val="left"/>
              <w:rPr>
                <w:rFonts w:hAnsi="宋体"/>
                <w:bCs/>
                <w:color w:val="000000"/>
                <w:kern w:val="0"/>
              </w:rPr>
            </w:pPr>
            <w:r>
              <w:rPr>
                <w:rFonts w:hint="eastAsia" w:hAnsi="宋体"/>
                <w:bCs/>
                <w:color w:val="000000"/>
                <w:kern w:val="0"/>
              </w:rPr>
              <w:t>有实验室安全责任追究制度</w:t>
            </w:r>
          </w:p>
        </w:tc>
        <w:tc>
          <w:tcPr>
            <w:tcW w:w="405" w:type="dxa"/>
            <w:tcMar>
              <w:top w:w="28" w:type="dxa"/>
              <w:left w:w="28" w:type="dxa"/>
              <w:bottom w:w="28" w:type="dxa"/>
              <w:right w:w="28" w:type="dxa"/>
            </w:tcMar>
            <w:vAlign w:val="center"/>
          </w:tcPr>
          <w:p>
            <w:pPr>
              <w:widowControl/>
              <w:spacing w:line="240" w:lineRule="exact"/>
              <w:jc w:val="center"/>
              <w:rPr>
                <w:bCs/>
                <w:color w:val="000000"/>
                <w:kern w:val="0"/>
              </w:rPr>
            </w:pPr>
          </w:p>
        </w:tc>
        <w:tc>
          <w:tcPr>
            <w:tcW w:w="419" w:type="dxa"/>
            <w:tcMar>
              <w:top w:w="28" w:type="dxa"/>
              <w:left w:w="28" w:type="dxa"/>
              <w:bottom w:w="28" w:type="dxa"/>
              <w:right w:w="28" w:type="dxa"/>
            </w:tcMar>
            <w:vAlign w:val="center"/>
          </w:tcPr>
          <w:p>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pPr>
              <w:widowControl/>
              <w:spacing w:line="240" w:lineRule="exact"/>
              <w:jc w:val="center"/>
              <w:rPr>
                <w:bCs/>
                <w:color w:val="000000"/>
                <w:kern w:val="0"/>
              </w:rPr>
            </w:pPr>
          </w:p>
        </w:tc>
        <w:tc>
          <w:tcPr>
            <w:tcW w:w="396" w:type="dxa"/>
            <w:tcMar>
              <w:top w:w="28" w:type="dxa"/>
              <w:left w:w="28" w:type="dxa"/>
              <w:bottom w:w="28" w:type="dxa"/>
              <w:right w:w="28" w:type="dxa"/>
            </w:tcMar>
            <w:vAlign w:val="center"/>
          </w:tcPr>
          <w:p>
            <w:pPr>
              <w:widowControl/>
              <w:spacing w:line="240" w:lineRule="exact"/>
              <w:jc w:val="center"/>
              <w:rPr>
                <w:bCs/>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Cs/>
                <w:color w:val="000000"/>
                <w:kern w:val="0"/>
              </w:rPr>
            </w:pPr>
            <w:r>
              <w:rPr>
                <w:bCs/>
                <w:color w:val="000000"/>
                <w:kern w:val="0"/>
              </w:rPr>
              <w:t>2.1.3</w:t>
            </w:r>
          </w:p>
        </w:tc>
        <w:tc>
          <w:tcPr>
            <w:tcW w:w="4762" w:type="dxa"/>
            <w:tcMar>
              <w:top w:w="28" w:type="dxa"/>
              <w:left w:w="28" w:type="dxa"/>
              <w:bottom w:w="28" w:type="dxa"/>
              <w:right w:w="28" w:type="dxa"/>
            </w:tcMar>
            <w:vAlign w:val="center"/>
          </w:tcPr>
          <w:p>
            <w:pPr>
              <w:widowControl/>
              <w:spacing w:line="240" w:lineRule="exact"/>
              <w:jc w:val="left"/>
              <w:rPr>
                <w:bCs/>
                <w:color w:val="000000"/>
                <w:kern w:val="0"/>
              </w:rPr>
            </w:pPr>
            <w:r>
              <w:rPr>
                <w:rFonts w:hint="eastAsia" w:hAnsi="宋体"/>
                <w:bCs/>
                <w:color w:val="000000"/>
                <w:kern w:val="0"/>
              </w:rPr>
              <w:t>有实验室安全检查制度</w:t>
            </w:r>
          </w:p>
        </w:tc>
        <w:tc>
          <w:tcPr>
            <w:tcW w:w="405" w:type="dxa"/>
            <w:tcMar>
              <w:top w:w="28" w:type="dxa"/>
              <w:left w:w="28" w:type="dxa"/>
              <w:bottom w:w="28" w:type="dxa"/>
              <w:right w:w="28" w:type="dxa"/>
            </w:tcMar>
            <w:vAlign w:val="center"/>
          </w:tcPr>
          <w:p>
            <w:pPr>
              <w:widowControl/>
              <w:spacing w:line="240" w:lineRule="exact"/>
              <w:jc w:val="center"/>
              <w:rPr>
                <w:bCs/>
                <w:color w:val="000000"/>
                <w:kern w:val="0"/>
              </w:rPr>
            </w:pPr>
          </w:p>
        </w:tc>
        <w:tc>
          <w:tcPr>
            <w:tcW w:w="419" w:type="dxa"/>
            <w:tcMar>
              <w:top w:w="28" w:type="dxa"/>
              <w:left w:w="28" w:type="dxa"/>
              <w:bottom w:w="28" w:type="dxa"/>
              <w:right w:w="28" w:type="dxa"/>
            </w:tcMar>
            <w:vAlign w:val="center"/>
          </w:tcPr>
          <w:p>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pPr>
              <w:widowControl/>
              <w:spacing w:line="240" w:lineRule="exact"/>
              <w:jc w:val="center"/>
              <w:rPr>
                <w:bCs/>
                <w:color w:val="000000"/>
                <w:kern w:val="0"/>
              </w:rPr>
            </w:pPr>
          </w:p>
        </w:tc>
        <w:tc>
          <w:tcPr>
            <w:tcW w:w="396" w:type="dxa"/>
            <w:tcMar>
              <w:top w:w="28" w:type="dxa"/>
              <w:left w:w="28" w:type="dxa"/>
              <w:bottom w:w="28" w:type="dxa"/>
              <w:right w:w="28" w:type="dxa"/>
            </w:tcMar>
            <w:vAlign w:val="center"/>
          </w:tcPr>
          <w:p>
            <w:pPr>
              <w:widowControl/>
              <w:spacing w:line="240" w:lineRule="exact"/>
              <w:jc w:val="center"/>
              <w:rPr>
                <w:bCs/>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Cs/>
                <w:color w:val="000000"/>
                <w:kern w:val="0"/>
              </w:rPr>
            </w:pPr>
            <w:r>
              <w:rPr>
                <w:bCs/>
                <w:color w:val="000000"/>
                <w:kern w:val="0"/>
              </w:rPr>
              <w:t>2.1.4</w:t>
            </w:r>
          </w:p>
        </w:tc>
        <w:tc>
          <w:tcPr>
            <w:tcW w:w="4762" w:type="dxa"/>
            <w:tcMar>
              <w:top w:w="28" w:type="dxa"/>
              <w:left w:w="28" w:type="dxa"/>
              <w:bottom w:w="28" w:type="dxa"/>
              <w:right w:w="28" w:type="dxa"/>
            </w:tcMar>
            <w:vAlign w:val="center"/>
          </w:tcPr>
          <w:p>
            <w:pPr>
              <w:widowControl/>
              <w:spacing w:line="240" w:lineRule="exact"/>
              <w:jc w:val="left"/>
              <w:rPr>
                <w:rFonts w:hAnsi="宋体"/>
                <w:bCs/>
                <w:color w:val="000000"/>
                <w:kern w:val="0"/>
              </w:rPr>
            </w:pPr>
            <w:r>
              <w:rPr>
                <w:rFonts w:hint="eastAsia" w:hAnsi="宋体"/>
                <w:bCs/>
                <w:color w:val="000000"/>
                <w:kern w:val="0"/>
              </w:rPr>
              <w:t>有化学品、生物、辐射、电气、机械、排污、仪器设备、安全教育等安全管理制度</w:t>
            </w:r>
          </w:p>
        </w:tc>
        <w:tc>
          <w:tcPr>
            <w:tcW w:w="405" w:type="dxa"/>
            <w:tcMar>
              <w:top w:w="28" w:type="dxa"/>
              <w:left w:w="28" w:type="dxa"/>
              <w:bottom w:w="28" w:type="dxa"/>
              <w:right w:w="28" w:type="dxa"/>
            </w:tcMar>
            <w:vAlign w:val="center"/>
          </w:tcPr>
          <w:p>
            <w:pPr>
              <w:widowControl/>
              <w:spacing w:line="240" w:lineRule="exact"/>
              <w:jc w:val="center"/>
              <w:rPr>
                <w:bCs/>
                <w:color w:val="000000"/>
                <w:kern w:val="0"/>
              </w:rPr>
            </w:pPr>
          </w:p>
        </w:tc>
        <w:tc>
          <w:tcPr>
            <w:tcW w:w="419" w:type="dxa"/>
            <w:tcMar>
              <w:top w:w="28" w:type="dxa"/>
              <w:left w:w="28" w:type="dxa"/>
              <w:bottom w:w="28" w:type="dxa"/>
              <w:right w:w="28" w:type="dxa"/>
            </w:tcMar>
            <w:vAlign w:val="center"/>
          </w:tcPr>
          <w:p>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pPr>
              <w:widowControl/>
              <w:spacing w:line="240" w:lineRule="exact"/>
              <w:jc w:val="center"/>
              <w:rPr>
                <w:bCs/>
                <w:color w:val="000000"/>
                <w:kern w:val="0"/>
              </w:rPr>
            </w:pPr>
          </w:p>
        </w:tc>
        <w:tc>
          <w:tcPr>
            <w:tcW w:w="396" w:type="dxa"/>
            <w:tcMar>
              <w:top w:w="28" w:type="dxa"/>
              <w:left w:w="28" w:type="dxa"/>
              <w:bottom w:w="28" w:type="dxa"/>
              <w:right w:w="28" w:type="dxa"/>
            </w:tcMar>
            <w:vAlign w:val="center"/>
          </w:tcPr>
          <w:p>
            <w:pPr>
              <w:widowControl/>
              <w:spacing w:line="240" w:lineRule="exact"/>
              <w:jc w:val="center"/>
              <w:rPr>
                <w:bCs/>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Cs/>
                <w:color w:val="000000"/>
                <w:kern w:val="0"/>
              </w:rPr>
            </w:pPr>
            <w:r>
              <w:rPr>
                <w:bCs/>
                <w:color w:val="000000"/>
                <w:kern w:val="0"/>
              </w:rPr>
              <w:t>2.1.5</w:t>
            </w:r>
          </w:p>
        </w:tc>
        <w:tc>
          <w:tcPr>
            <w:tcW w:w="4762" w:type="dxa"/>
            <w:tcMar>
              <w:top w:w="28" w:type="dxa"/>
              <w:left w:w="28" w:type="dxa"/>
              <w:bottom w:w="28" w:type="dxa"/>
              <w:right w:w="28" w:type="dxa"/>
            </w:tcMar>
            <w:vAlign w:val="center"/>
          </w:tcPr>
          <w:p>
            <w:pPr>
              <w:widowControl/>
              <w:spacing w:line="240" w:lineRule="exact"/>
              <w:jc w:val="left"/>
              <w:rPr>
                <w:bCs/>
                <w:color w:val="000000"/>
                <w:kern w:val="0"/>
              </w:rPr>
            </w:pPr>
            <w:r>
              <w:rPr>
                <w:rFonts w:hint="eastAsia" w:hAnsi="宋体"/>
                <w:bCs/>
                <w:color w:val="000000"/>
                <w:kern w:val="0"/>
              </w:rPr>
              <w:t>有应急预案（包括化学品、生物、辐射、电气、机械等）</w:t>
            </w:r>
          </w:p>
        </w:tc>
        <w:tc>
          <w:tcPr>
            <w:tcW w:w="405" w:type="dxa"/>
            <w:tcMar>
              <w:top w:w="28" w:type="dxa"/>
              <w:left w:w="28" w:type="dxa"/>
              <w:bottom w:w="28" w:type="dxa"/>
              <w:right w:w="28" w:type="dxa"/>
            </w:tcMar>
            <w:vAlign w:val="center"/>
          </w:tcPr>
          <w:p>
            <w:pPr>
              <w:widowControl/>
              <w:spacing w:line="240" w:lineRule="exact"/>
              <w:jc w:val="center"/>
              <w:rPr>
                <w:bCs/>
                <w:color w:val="000000"/>
                <w:kern w:val="0"/>
              </w:rPr>
            </w:pPr>
          </w:p>
        </w:tc>
        <w:tc>
          <w:tcPr>
            <w:tcW w:w="419" w:type="dxa"/>
            <w:tcMar>
              <w:top w:w="28" w:type="dxa"/>
              <w:left w:w="28" w:type="dxa"/>
              <w:bottom w:w="28" w:type="dxa"/>
              <w:right w:w="28" w:type="dxa"/>
            </w:tcMar>
            <w:vAlign w:val="center"/>
          </w:tcPr>
          <w:p>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pPr>
              <w:widowControl/>
              <w:spacing w:line="240" w:lineRule="exact"/>
              <w:jc w:val="center"/>
              <w:rPr>
                <w:bCs/>
                <w:color w:val="000000"/>
                <w:kern w:val="0"/>
              </w:rPr>
            </w:pPr>
          </w:p>
        </w:tc>
        <w:tc>
          <w:tcPr>
            <w:tcW w:w="396" w:type="dxa"/>
            <w:tcMar>
              <w:top w:w="28" w:type="dxa"/>
              <w:left w:w="28" w:type="dxa"/>
              <w:bottom w:w="28" w:type="dxa"/>
              <w:right w:w="28" w:type="dxa"/>
            </w:tcMar>
            <w:vAlign w:val="center"/>
          </w:tcPr>
          <w:p>
            <w:pPr>
              <w:widowControl/>
              <w:spacing w:line="240" w:lineRule="exact"/>
              <w:jc w:val="center"/>
              <w:rPr>
                <w:bCs/>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2.2</w:t>
            </w:r>
          </w:p>
        </w:tc>
        <w:tc>
          <w:tcPr>
            <w:tcW w:w="4762" w:type="dxa"/>
            <w:tcMar>
              <w:top w:w="28" w:type="dxa"/>
              <w:left w:w="28" w:type="dxa"/>
              <w:bottom w:w="28" w:type="dxa"/>
              <w:right w:w="28" w:type="dxa"/>
            </w:tcMar>
            <w:vAlign w:val="center"/>
          </w:tcPr>
          <w:p>
            <w:pPr>
              <w:widowControl/>
              <w:spacing w:line="240" w:lineRule="exact"/>
              <w:jc w:val="left"/>
              <w:rPr>
                <w:b/>
                <w:color w:val="000000"/>
                <w:kern w:val="0"/>
              </w:rPr>
            </w:pPr>
            <w:r>
              <w:rPr>
                <w:rFonts w:hint="eastAsia" w:hAnsi="宋体"/>
                <w:b/>
                <w:color w:val="000000"/>
                <w:kern w:val="0"/>
              </w:rPr>
              <w:t>院系层面的安全管理制度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Cs/>
                <w:color w:val="000000"/>
                <w:kern w:val="0"/>
              </w:rPr>
            </w:pPr>
            <w:r>
              <w:rPr>
                <w:bCs/>
                <w:color w:val="000000"/>
                <w:kern w:val="0"/>
              </w:rPr>
              <w:t>2.2.1</w:t>
            </w:r>
          </w:p>
        </w:tc>
        <w:tc>
          <w:tcPr>
            <w:tcW w:w="4762" w:type="dxa"/>
            <w:tcMar>
              <w:top w:w="28" w:type="dxa"/>
              <w:left w:w="28" w:type="dxa"/>
              <w:bottom w:w="28" w:type="dxa"/>
              <w:right w:w="28" w:type="dxa"/>
            </w:tcMar>
            <w:vAlign w:val="center"/>
          </w:tcPr>
          <w:p>
            <w:pPr>
              <w:widowControl/>
              <w:spacing w:line="240" w:lineRule="exact"/>
              <w:jc w:val="left"/>
              <w:rPr>
                <w:bCs/>
                <w:color w:val="000000"/>
                <w:kern w:val="0"/>
              </w:rPr>
            </w:pPr>
            <w:r>
              <w:rPr>
                <w:rFonts w:hint="eastAsia" w:hAnsi="宋体"/>
                <w:bCs/>
                <w:color w:val="000000"/>
                <w:kern w:val="0"/>
              </w:rPr>
              <w:t>具有学科特色的实验室安全管理制度</w:t>
            </w:r>
          </w:p>
        </w:tc>
        <w:tc>
          <w:tcPr>
            <w:tcW w:w="405" w:type="dxa"/>
            <w:tcMar>
              <w:top w:w="28" w:type="dxa"/>
              <w:left w:w="28" w:type="dxa"/>
              <w:bottom w:w="28" w:type="dxa"/>
              <w:right w:w="28" w:type="dxa"/>
            </w:tcMar>
            <w:vAlign w:val="center"/>
          </w:tcPr>
          <w:p>
            <w:pPr>
              <w:widowControl/>
              <w:spacing w:line="240" w:lineRule="exact"/>
              <w:jc w:val="center"/>
              <w:rPr>
                <w:bCs/>
                <w:color w:val="000000"/>
                <w:kern w:val="0"/>
              </w:rPr>
            </w:pPr>
          </w:p>
        </w:tc>
        <w:tc>
          <w:tcPr>
            <w:tcW w:w="419" w:type="dxa"/>
            <w:tcMar>
              <w:top w:w="28" w:type="dxa"/>
              <w:left w:w="28" w:type="dxa"/>
              <w:bottom w:w="28" w:type="dxa"/>
              <w:right w:w="28" w:type="dxa"/>
            </w:tcMar>
            <w:vAlign w:val="center"/>
          </w:tcPr>
          <w:p>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pPr>
              <w:widowControl/>
              <w:spacing w:line="240" w:lineRule="exact"/>
              <w:jc w:val="center"/>
              <w:rPr>
                <w:bCs/>
                <w:color w:val="000000"/>
                <w:kern w:val="0"/>
              </w:rPr>
            </w:pPr>
          </w:p>
        </w:tc>
        <w:tc>
          <w:tcPr>
            <w:tcW w:w="396" w:type="dxa"/>
            <w:tcMar>
              <w:top w:w="28" w:type="dxa"/>
              <w:left w:w="28" w:type="dxa"/>
              <w:bottom w:w="28" w:type="dxa"/>
              <w:right w:w="28" w:type="dxa"/>
            </w:tcMar>
            <w:vAlign w:val="center"/>
          </w:tcPr>
          <w:p>
            <w:pPr>
              <w:widowControl/>
              <w:spacing w:line="240" w:lineRule="exact"/>
              <w:jc w:val="center"/>
              <w:rPr>
                <w:bCs/>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2.2.2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有安全检查与值班值日制度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2.2.3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有实验操作规程（含安全注意事项，特别是对于危险性实验与操作）</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2.2.4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有仪器操作规程（含安全注意事项）</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2.2.5</w:t>
            </w:r>
          </w:p>
        </w:tc>
        <w:tc>
          <w:tcPr>
            <w:tcW w:w="4762" w:type="dxa"/>
            <w:tcMar>
              <w:top w:w="28" w:type="dxa"/>
              <w:left w:w="28" w:type="dxa"/>
              <w:bottom w:w="28" w:type="dxa"/>
              <w:right w:w="28" w:type="dxa"/>
            </w:tcMar>
            <w:vAlign w:val="center"/>
          </w:tcPr>
          <w:p>
            <w:pPr>
              <w:widowControl/>
              <w:spacing w:line="240" w:lineRule="exact"/>
              <w:jc w:val="left"/>
              <w:rPr>
                <w:rFonts w:hAnsi="宋体"/>
                <w:color w:val="000000"/>
                <w:kern w:val="0"/>
              </w:rPr>
            </w:pPr>
            <w:r>
              <w:rPr>
                <w:rFonts w:hint="eastAsia" w:hAnsi="宋体"/>
                <w:color w:val="000000"/>
                <w:kern w:val="0"/>
              </w:rPr>
              <w:t>有体现学科特色的应急预案</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2.3</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hAnsi="宋体"/>
                <w:b/>
                <w:color w:val="000000"/>
                <w:kern w:val="0"/>
              </w:rPr>
              <w:t>规章制度的执行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2.3.1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建立安全检查和值日台账，且记录规范</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2.3.2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将有操作指导性的制度、规程上墙（特别是有危险性的操作一定要明确）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2.3.3</w:t>
            </w:r>
          </w:p>
        </w:tc>
        <w:tc>
          <w:tcPr>
            <w:tcW w:w="4762" w:type="dxa"/>
            <w:tcMar>
              <w:top w:w="28" w:type="dxa"/>
              <w:left w:w="28" w:type="dxa"/>
              <w:bottom w:w="28" w:type="dxa"/>
              <w:right w:w="28" w:type="dxa"/>
            </w:tcMar>
            <w:vAlign w:val="center"/>
          </w:tcPr>
          <w:p>
            <w:pPr>
              <w:widowControl/>
              <w:spacing w:line="240" w:lineRule="exact"/>
              <w:jc w:val="left"/>
              <w:rPr>
                <w:rFonts w:hAnsi="宋体"/>
                <w:color w:val="000000"/>
                <w:kern w:val="0"/>
              </w:rPr>
            </w:pPr>
            <w:r>
              <w:rPr>
                <w:rFonts w:hint="eastAsia" w:ascii="Times New Roman" w:hAnsi="Times New Roman"/>
                <w:color w:val="000000"/>
                <w:kern w:val="0"/>
              </w:rPr>
              <w:t>对于检查发现存在问题的，有合适的方式通知被查实验室，如网上公示、整改通知书等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2.3.4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检查出的问题得到及时的整改，有记录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3</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hAnsi="宋体"/>
                <w:b/>
                <w:color w:val="000000"/>
                <w:kern w:val="0"/>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3.1</w:t>
            </w:r>
          </w:p>
        </w:tc>
        <w:tc>
          <w:tcPr>
            <w:tcW w:w="4762" w:type="dxa"/>
            <w:tcMar>
              <w:top w:w="28" w:type="dxa"/>
              <w:left w:w="28" w:type="dxa"/>
              <w:bottom w:w="28" w:type="dxa"/>
              <w:right w:w="28" w:type="dxa"/>
            </w:tcMar>
            <w:vAlign w:val="center"/>
          </w:tcPr>
          <w:p>
            <w:pPr>
              <w:widowControl/>
              <w:spacing w:line="240" w:lineRule="exact"/>
              <w:jc w:val="left"/>
              <w:rPr>
                <w:b/>
                <w:color w:val="000000"/>
                <w:kern w:val="0"/>
              </w:rPr>
            </w:pPr>
            <w:r>
              <w:rPr>
                <w:rFonts w:hint="eastAsia" w:hAnsi="宋体"/>
                <w:b/>
                <w:color w:val="000000"/>
                <w:kern w:val="0"/>
              </w:rPr>
              <w:t>教育培训计划</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有年度安全教育培训计划</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有安全教育和培训的记录，并存档</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3.2</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hAnsi="宋体"/>
                <w:b/>
                <w:color w:val="000000"/>
                <w:kern w:val="0"/>
              </w:rPr>
              <w:t>活动组织与实施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开展了教职工安全教育与培训</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开展了研究生安全教育与培训</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开展了本科生安全教育与培训</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3.2.4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开展了结合学科特点的应急演练</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3.3</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实验室安全考试系统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3.3.1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建立了实验室安全考试系统</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3.3.2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每年组织本科生、研究生学习与考试，发放合格证</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3.3.3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组织对教师的考试，有记录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3.4</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hAnsi="宋体"/>
                <w:b/>
                <w:color w:val="000000"/>
                <w:kern w:val="0"/>
              </w:rPr>
              <w:t>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3.4.1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在本单位主页设立专门的板块开展安全宣传、报道</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3.4.2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设有安全教育宣传窗，或有宣传画、标语、提示等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3.4.3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编印《实验室安全手册》并发放到每一位师生</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3.4.4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通过短信、网络等途径定期对师生进行安全方面的温馨提醒</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4</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实验室环境与管理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b/>
                <w:color w:val="000000"/>
                <w:kern w:val="0"/>
              </w:rPr>
            </w:pPr>
            <w:r>
              <w:rPr>
                <w:b/>
                <w:color w:val="000000"/>
                <w:kern w:val="0"/>
              </w:rPr>
              <w:t>4.1</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4.1.1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每个房间门口挂有安全信息牌，信息包括安全责任人、涉及危险类别、防护措施和有效的应急联系电话等，并及时更新</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4.1.2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特殊实验室应张贴相应的安全警示标识</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实验室消防通道通畅</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4.1.4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门上有可视窗</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4.1.5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不安装额外的铁栏栅门（特殊情况除外）</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4.1.6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除一楼之外不安装防盗窗（特殊情况除外）</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4.1.7</w:t>
            </w:r>
          </w:p>
        </w:tc>
        <w:tc>
          <w:tcPr>
            <w:tcW w:w="4762" w:type="dxa"/>
            <w:tcMar>
              <w:top w:w="28" w:type="dxa"/>
              <w:left w:w="28" w:type="dxa"/>
              <w:bottom w:w="28" w:type="dxa"/>
              <w:right w:w="28" w:type="dxa"/>
            </w:tcMar>
            <w:vAlign w:val="center"/>
          </w:tcPr>
          <w:p>
            <w:pPr>
              <w:widowControl/>
              <w:spacing w:line="240" w:lineRule="exact"/>
              <w:rPr>
                <w:color w:val="000000"/>
                <w:kern w:val="0"/>
              </w:rPr>
            </w:pPr>
            <w:r>
              <w:rPr>
                <w:rFonts w:hint="eastAsia"/>
                <w:color w:val="000000"/>
                <w:kern w:val="0"/>
              </w:rPr>
              <w:t>公共场所、通道无堆放仪器、物品现象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4.1.8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所有房间的钥匙有备用，存放在单位办公室或传达室内，由专人管理</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b/>
                <w:color w:val="000000"/>
                <w:kern w:val="0"/>
              </w:rPr>
            </w:pPr>
            <w:r>
              <w:rPr>
                <w:b/>
                <w:color w:val="000000"/>
                <w:kern w:val="0"/>
              </w:rPr>
              <w:t>4.2</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卫生与环境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4.2.1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实验区与学习区明确分开，布局合理</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4.2.2</w:t>
            </w:r>
          </w:p>
        </w:tc>
        <w:tc>
          <w:tcPr>
            <w:tcW w:w="4762" w:type="dxa"/>
            <w:tcMar>
              <w:top w:w="28" w:type="dxa"/>
              <w:left w:w="28" w:type="dxa"/>
              <w:bottom w:w="28" w:type="dxa"/>
              <w:right w:w="28" w:type="dxa"/>
            </w:tcMar>
            <w:vAlign w:val="center"/>
          </w:tcPr>
          <w:p>
            <w:pPr>
              <w:widowControl/>
              <w:spacing w:line="240" w:lineRule="exact"/>
              <w:rPr>
                <w:color w:val="000000"/>
                <w:kern w:val="0"/>
              </w:rPr>
            </w:pPr>
            <w:r>
              <w:rPr>
                <w:rFonts w:hint="eastAsia"/>
                <w:color w:val="000000"/>
                <w:kern w:val="0"/>
              </w:rPr>
              <w:t>实验室物品摆放有序，卫生状况良好</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不存在门开着而无人的现象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4.2.4</w:t>
            </w:r>
          </w:p>
        </w:tc>
        <w:tc>
          <w:tcPr>
            <w:tcW w:w="4762" w:type="dxa"/>
            <w:tcMar>
              <w:top w:w="28" w:type="dxa"/>
              <w:left w:w="28" w:type="dxa"/>
              <w:bottom w:w="28" w:type="dxa"/>
              <w:right w:w="28" w:type="dxa"/>
            </w:tcMar>
            <w:vAlign w:val="center"/>
          </w:tcPr>
          <w:p>
            <w:pPr>
              <w:widowControl/>
              <w:spacing w:line="240" w:lineRule="exact"/>
              <w:rPr>
                <w:color w:val="000000"/>
                <w:kern w:val="0"/>
              </w:rPr>
            </w:pPr>
            <w:r>
              <w:rPr>
                <w:rFonts w:hint="eastAsia"/>
                <w:color w:val="000000"/>
                <w:kern w:val="0"/>
              </w:rPr>
              <w:t>无废弃物品（如纸板箱、废电脑、破仪器、破家具等）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b/>
                <w:color w:val="000000"/>
                <w:kern w:val="0"/>
              </w:rPr>
              <w:t>4.3</w:t>
            </w:r>
          </w:p>
        </w:tc>
        <w:tc>
          <w:tcPr>
            <w:tcW w:w="4762" w:type="dxa"/>
            <w:tcMar>
              <w:top w:w="28" w:type="dxa"/>
              <w:left w:w="28" w:type="dxa"/>
              <w:bottom w:w="28" w:type="dxa"/>
              <w:right w:w="28" w:type="dxa"/>
            </w:tcMar>
            <w:vAlign w:val="center"/>
          </w:tcPr>
          <w:p>
            <w:pPr>
              <w:widowControl/>
              <w:spacing w:line="240" w:lineRule="exact"/>
              <w:rPr>
                <w:color w:val="000000"/>
                <w:kern w:val="0"/>
              </w:rPr>
            </w:pPr>
            <w:r>
              <w:rPr>
                <w:rFonts w:hint="eastAsia"/>
                <w:b/>
                <w:color w:val="000000"/>
                <w:kern w:val="0"/>
              </w:rPr>
              <w:t>学校相关场所</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4.3.1</w:t>
            </w:r>
          </w:p>
        </w:tc>
        <w:tc>
          <w:tcPr>
            <w:tcW w:w="4762" w:type="dxa"/>
            <w:tcMar>
              <w:top w:w="28" w:type="dxa"/>
              <w:left w:w="28" w:type="dxa"/>
              <w:bottom w:w="28" w:type="dxa"/>
              <w:right w:w="28" w:type="dxa"/>
            </w:tcMar>
            <w:vAlign w:val="center"/>
          </w:tcPr>
          <w:p>
            <w:pPr>
              <w:widowControl/>
              <w:spacing w:line="240" w:lineRule="exact"/>
              <w:rPr>
                <w:color w:val="000000"/>
                <w:kern w:val="0"/>
              </w:rPr>
            </w:pPr>
            <w:r>
              <w:rPr>
                <w:rFonts w:hint="eastAsia"/>
                <w:color w:val="000000"/>
                <w:kern w:val="0"/>
              </w:rPr>
              <w:t>学校有危险品仓库，符合相关规定</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4.3.2</w:t>
            </w:r>
          </w:p>
        </w:tc>
        <w:tc>
          <w:tcPr>
            <w:tcW w:w="4762" w:type="dxa"/>
            <w:tcMar>
              <w:top w:w="28" w:type="dxa"/>
              <w:left w:w="28" w:type="dxa"/>
              <w:bottom w:w="28" w:type="dxa"/>
              <w:right w:w="28" w:type="dxa"/>
            </w:tcMar>
            <w:vAlign w:val="center"/>
          </w:tcPr>
          <w:p>
            <w:pPr>
              <w:widowControl/>
              <w:spacing w:line="240" w:lineRule="exact"/>
              <w:rPr>
                <w:color w:val="000000"/>
                <w:kern w:val="0"/>
              </w:rPr>
            </w:pPr>
            <w:r>
              <w:rPr>
                <w:rFonts w:hint="eastAsia"/>
                <w:color w:val="000000"/>
                <w:kern w:val="0"/>
              </w:rPr>
              <w:t>学校有化学实验废弃物中转站，符合相关规定</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4.3.3</w:t>
            </w:r>
          </w:p>
        </w:tc>
        <w:tc>
          <w:tcPr>
            <w:tcW w:w="4762" w:type="dxa"/>
            <w:tcMar>
              <w:top w:w="28" w:type="dxa"/>
              <w:left w:w="28" w:type="dxa"/>
              <w:bottom w:w="28" w:type="dxa"/>
              <w:right w:w="28" w:type="dxa"/>
            </w:tcMar>
            <w:vAlign w:val="center"/>
          </w:tcPr>
          <w:p>
            <w:pPr>
              <w:widowControl/>
              <w:spacing w:line="240" w:lineRule="exact"/>
              <w:rPr>
                <w:color w:val="000000"/>
                <w:kern w:val="0"/>
              </w:rPr>
            </w:pPr>
            <w:r>
              <w:rPr>
                <w:rFonts w:hint="eastAsia"/>
                <w:color w:val="000000"/>
                <w:kern w:val="0"/>
              </w:rPr>
              <w:t>学校有生化固废中转站，符合相关规定</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4.4</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4.4.1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实验室内不放无关物品，如电动车、自行车等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4.4.2</w:t>
            </w:r>
          </w:p>
        </w:tc>
        <w:tc>
          <w:tcPr>
            <w:tcW w:w="4762" w:type="dxa"/>
            <w:tcMar>
              <w:top w:w="28" w:type="dxa"/>
              <w:left w:w="28" w:type="dxa"/>
              <w:bottom w:w="28" w:type="dxa"/>
              <w:right w:w="28" w:type="dxa"/>
            </w:tcMar>
            <w:vAlign w:val="center"/>
          </w:tcPr>
          <w:p>
            <w:pPr>
              <w:widowControl/>
              <w:spacing w:line="240" w:lineRule="exact"/>
              <w:rPr>
                <w:color w:val="000000"/>
                <w:kern w:val="0"/>
              </w:rPr>
            </w:pPr>
            <w:r>
              <w:rPr>
                <w:rFonts w:hint="eastAsia"/>
                <w:color w:val="000000"/>
                <w:kern w:val="0"/>
              </w:rPr>
              <w:t>实验室内不烧煮食物、饮食</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4.4.3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不在实验室内睡觉过夜</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4.4.4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实验室内无吸烟现象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4.4.5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化学、生物类实验室不得使用可燃性蚊香。其它实验室如需使用，其底盘必须是金属的</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5</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5.1</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应急设施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配置消防器材（烟感报警器、灭火器、消防栓、手动报警器、沙桶等）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实验大楼有逃生线路指示图，并安装了应急指示灯</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灭火器配备数量合理，无灭火器过期现象</w:t>
            </w:r>
            <w:r>
              <w:rPr>
                <w:color w:val="000000"/>
                <w:kern w:val="0"/>
              </w:rPr>
              <w:t>,</w:t>
            </w:r>
            <w:r>
              <w:rPr>
                <w:rFonts w:hint="eastAsia"/>
                <w:color w:val="000000"/>
                <w:kern w:val="0"/>
              </w:rPr>
              <w:t>摆放位置利于取用</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5.1.4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重点部位有防盗和监控设施，包括剧毒品、病原微生物和放射源存放点等。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5.1.5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化学和生物类实验室有应急喷淋装置和洗眼装置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5.1.6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应急喷淋装置水管总阀处常开状，喷头下方无障碍物</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5.1.7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有应急喷淋和洗眼装置的巡检记录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5.1.8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楼层或实验室配备了急救药箱，药箱不上锁</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5.2</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配备符合要求的通风系统；对于排放有毒有味废气的实验室，有吸收过滤装置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通风系统运行正常</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有通风设备进行风速测定等维护、检修记录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5.2.4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换气扇使用正常</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5.2.5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风机固定无松动、无异常噪声</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6</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水电安全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6.1</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用电基础安全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无插头插座不匹配或私自改装的现象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无乱拉乱接电线现象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无电线老化、使用花线和木质配电板的现象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无多个大功率仪器使用同一个接线板的现象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无多个接线板串联、接线板直接放在地面的现象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无电源插座未固定、插座插头破损现象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大功率仪器（包括空调等）有专用插座，长期不用时，应拔出电源插头</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无人状态下，充电器（宝）不能充电过夜</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6.1.9</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水槽边不安装电源插座，如实在必要，应有防护挡板或防护罩</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6.2</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下水道畅通，不存在水龙头、水管破损现象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各类链接管无老化破损现象（特别是冷却冷凝系统的橡胶管接口处）</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无自来水龙头开着时人离开的现象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7</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7.1</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化学试剂存放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7.1.1</w:t>
            </w:r>
          </w:p>
        </w:tc>
        <w:tc>
          <w:tcPr>
            <w:tcW w:w="4762" w:type="dxa"/>
            <w:tcMar>
              <w:top w:w="28" w:type="dxa"/>
              <w:left w:w="28" w:type="dxa"/>
              <w:bottom w:w="28" w:type="dxa"/>
              <w:right w:w="28" w:type="dxa"/>
            </w:tcMar>
            <w:vAlign w:val="center"/>
          </w:tcPr>
          <w:p>
            <w:pPr>
              <w:widowControl/>
              <w:spacing w:line="240" w:lineRule="exact"/>
              <w:rPr>
                <w:b/>
                <w:color w:val="000000"/>
                <w:kern w:val="0"/>
              </w:rPr>
            </w:pPr>
            <w:r>
              <w:rPr>
                <w:rFonts w:hint="eastAsia"/>
                <w:color w:val="000000"/>
                <w:kern w:val="0"/>
              </w:rPr>
              <w:t>有房间内化学品的动态台帐</w:t>
            </w:r>
          </w:p>
        </w:tc>
        <w:tc>
          <w:tcPr>
            <w:tcW w:w="405" w:type="dxa"/>
            <w:vAlign w:val="center"/>
          </w:tcPr>
          <w:p>
            <w:pPr>
              <w:widowControl/>
              <w:spacing w:line="240" w:lineRule="exact"/>
              <w:rPr>
                <w:b/>
                <w:color w:val="000000"/>
                <w:kern w:val="0"/>
              </w:rPr>
            </w:pPr>
          </w:p>
        </w:tc>
        <w:tc>
          <w:tcPr>
            <w:tcW w:w="419" w:type="dxa"/>
            <w:vAlign w:val="center"/>
          </w:tcPr>
          <w:p>
            <w:pPr>
              <w:widowControl/>
              <w:spacing w:line="240" w:lineRule="exact"/>
              <w:rPr>
                <w:b/>
                <w:color w:val="000000"/>
                <w:kern w:val="0"/>
              </w:rPr>
            </w:pPr>
          </w:p>
        </w:tc>
        <w:tc>
          <w:tcPr>
            <w:tcW w:w="448" w:type="dxa"/>
            <w:vAlign w:val="center"/>
          </w:tcPr>
          <w:p>
            <w:pPr>
              <w:widowControl/>
              <w:spacing w:line="240" w:lineRule="exact"/>
              <w:rPr>
                <w:b/>
                <w:color w:val="000000"/>
                <w:kern w:val="0"/>
              </w:rPr>
            </w:pPr>
          </w:p>
        </w:tc>
        <w:tc>
          <w:tcPr>
            <w:tcW w:w="396" w:type="dxa"/>
            <w:vAlign w:val="center"/>
          </w:tcPr>
          <w:p>
            <w:pPr>
              <w:widowControl/>
              <w:spacing w:line="240" w:lineRule="exact"/>
              <w:rPr>
                <w:b/>
                <w:color w:val="000000"/>
                <w:kern w:val="0"/>
              </w:rPr>
            </w:pPr>
          </w:p>
        </w:tc>
        <w:tc>
          <w:tcPr>
            <w:tcW w:w="2179" w:type="dxa"/>
            <w:gridSpan w:val="2"/>
            <w:vAlign w:val="center"/>
          </w:tcPr>
          <w:p>
            <w:pPr>
              <w:widowControl/>
              <w:spacing w:line="240" w:lineRule="exact"/>
              <w:jc w:val="left"/>
              <w:rPr>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有序分类存放，放置位置便于查找取用</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强酸与强碱、氧化剂与还原剂等分开存放</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固体与液体分开存放（如在同一试剂柜中，液体需放置在下层）</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化学品不存在叠放现象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腐蚀溶剂配有托盘类的二次泄漏防护容器</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化学试剂标签无脱落、模糊现象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存放点通风、隔热、安全</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7.1.9</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无存放大桶试剂现象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7.1.10</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无大量存放化学试剂现象（用量较大的试剂存量应控制在一周计划用量之内）</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无试剂药品过期现象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无试剂瓶、烧瓶等开口放置的现象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对于易泄漏、挥发的试剂应存放在具有通风、吸附功能的试剂柜内</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7.2</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剧毒品管理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剧毒品购买前须经公安部门审批，并凭证向具有经营许可资质的单位购买</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校职能部门负责校内审批，并保留资料、建立清单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配备专门的保险柜并固定，实行双人双锁保管（只有</w:t>
            </w:r>
            <w:r>
              <w:rPr>
                <w:color w:val="000000"/>
                <w:kern w:val="0"/>
              </w:rPr>
              <w:t>2</w:t>
            </w:r>
            <w:r>
              <w:rPr>
                <w:rFonts w:hint="eastAsia"/>
                <w:color w:val="000000"/>
                <w:kern w:val="0"/>
              </w:rPr>
              <w:t>名分别掌管了钥匙和密码的保管人同时到场时才能开启保险柜），有条件的或专用库房需配备</w:t>
            </w:r>
            <w:r>
              <w:rPr>
                <w:rFonts w:hint="eastAsia"/>
                <w:kern w:val="0"/>
              </w:rPr>
              <w:t>报警及监控设备</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对于具有高挥发性、低闪点的剧毒品应存放在具有防爆功能的冰箱内，并配备双锁，实行双人双锁保管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执行双人收发、双人运输，有记录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使用时有两人同时在场，且计量取用后立即放回保险柜，有记录（双人签字）</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有规范的剧毒品处置方法，双人签字记录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残余、废弃的剧毒品或空瓶的处置按规定进行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7.2.9</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不得私自从外单位获取剧毒品</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7.3</w:t>
            </w:r>
          </w:p>
        </w:tc>
        <w:tc>
          <w:tcPr>
            <w:tcW w:w="4762" w:type="dxa"/>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易制毒品等特殊药品管理</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7.3.1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易制毒品购买前须经公安部门审批</w:t>
            </w:r>
            <w:r>
              <w:rPr>
                <w:color w:val="000000"/>
                <w:kern w:val="0"/>
              </w:rPr>
              <w:t xml:space="preserve">, </w:t>
            </w:r>
            <w:r>
              <w:rPr>
                <w:rFonts w:hint="eastAsia"/>
                <w:color w:val="000000"/>
                <w:kern w:val="0"/>
              </w:rPr>
              <w:t>并凭证向具有经营许可资质的单位购买</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7.3.2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易制毒品分类存放、专人保管，做好领取、使用、处置记录。其中第一类易制毒品实行“五双”管理制度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7.3.3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易制爆品购买前须经公安部门审批</w:t>
            </w:r>
            <w:r>
              <w:rPr>
                <w:color w:val="000000"/>
                <w:kern w:val="0"/>
              </w:rPr>
              <w:t xml:space="preserve">, </w:t>
            </w:r>
            <w:r>
              <w:rPr>
                <w:rFonts w:hint="eastAsia"/>
                <w:color w:val="000000"/>
                <w:kern w:val="0"/>
              </w:rPr>
              <w:t>或按照政府管理的规定要求采购，并向具有经营许可资质的单位购买</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7.3.4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易制爆品分类存放、专人保管，做好领取、使用、处置记录。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7.3.5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麻醉药品、精神药品等购买前须向食品药品监督管理部门申请，报批同意后向定点供应商或者定点生产企业采购。</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7.3.6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麻醉品和精神类药品储存于专门的保险柜中，有规范的领取、使用、处置台账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7.4</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有气体钢瓶台帐，钢瓶颜色和字体清楚，有状态标识牌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可燃性气体与氧气等助燃气体不混放</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涉及剧毒、易燃易爆气体的场所，配有通风设施和监控报警装置等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危险气体钢瓶存放点通风、远离热源</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无气体钢瓶放在走廊、大厅等公共场所的现象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气体钢瓶已正确固定</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气体管路材质选择合适，无破损或老化现象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气体连接管路连接正确，并时常进行检漏</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7.4.9</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有气体管路标识，对于存在多条气体管路的房间张贴了详细的管路图</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7.4.10</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实验结束后，气体钢瓶总阀已关闭</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独立的气体钢瓶室有专人管理</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无废旧气体钢瓶，无大量气体钢瓶堆放现象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7.5</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化学废弃物处置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与有资质的处理单位（企业）签约处置化学废弃物</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学校有统一的化学实验废弃物标签，包含废物类别、危险类别、主要成分、产生单位、送储人、日期等信息</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配备了化学实验废弃物分类容器</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对化学废弃物进行了分类存放、包装（应避免易产生剧烈反映的物品混放），并贴好标签，及时送学校中转站或收集点</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无大量存放化学废弃物的现象，定时清运化学实验废弃物</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无实验废弃物和生活垃圾混放现象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无向下水道倾倒废旧化学试剂等现象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无实验室外堆放实验废弃物现象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7.5.9</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对于产生有毒和异味废气的，有气体吸收装置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7.5.10</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锐器废物已盛放在纸板箱等不易被刺穿的容器中</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7.6</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7.6.1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学校有统一的试剂标签（用于配置试剂、合成品、样品等），信息包括名称、浓度、责任人、日期、储存条件等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7.6.2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配置试剂、合成品、样品等标签信息明确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7.6.3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配置试剂、合成品等不得无盖放置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7.6.4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无使用饮料瓶存放试剂、样品的现象。如确需存放，必须撕去原包装纸，贴上专用标签纸</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7.6.5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无在原标签纸未撕去的空试剂瓶中存放其它化学品的现象（除非将原标签撕去、重新贴上专用标签纸）</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7.6.6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用于浸泡玻璃器皿的酸缸、碱缸等有盖子盖上</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7.6.7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不存在使用破损量筒、试管等玻璃器皿的现象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8</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8.1</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实验室与人员资质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开展病原微生物相关实验和研究的实验室，须具备相应的安全等级资质和生物危害因子实验活动资格</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开展病原微生物相关实验和研究的人员经过专业培训，并取得相应的</w:t>
            </w:r>
            <w:r>
              <w:rPr>
                <w:color w:val="000000"/>
                <w:kern w:val="0"/>
              </w:rPr>
              <w:t>“</w:t>
            </w:r>
            <w:r>
              <w:rPr>
                <w:rFonts w:hint="eastAsia"/>
                <w:color w:val="000000"/>
                <w:kern w:val="0"/>
              </w:rPr>
              <w:t>证书</w:t>
            </w:r>
            <w:r>
              <w:rPr>
                <w:color w:val="000000"/>
                <w:kern w:val="0"/>
              </w:rPr>
              <w:t>”</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开展病原微生物实验须向卫生或农业主管部门申报备案</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8.1.4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开展未经灭活的高致病性病原微生物（列入一类、二类）相关实验和研究，必须在</w:t>
            </w:r>
            <w:r>
              <w:rPr>
                <w:color w:val="000000"/>
                <w:kern w:val="0"/>
              </w:rPr>
              <w:t>BSL-3/ABSL-3</w:t>
            </w:r>
            <w:r>
              <w:rPr>
                <w:rFonts w:hint="eastAsia"/>
                <w:color w:val="000000"/>
                <w:kern w:val="0"/>
              </w:rPr>
              <w:t>、</w:t>
            </w:r>
            <w:r>
              <w:rPr>
                <w:color w:val="000000"/>
                <w:kern w:val="0"/>
              </w:rPr>
              <w:t>BSL-4/ABSL-4</w:t>
            </w:r>
            <w:r>
              <w:rPr>
                <w:rFonts w:hint="eastAsia"/>
                <w:color w:val="000000"/>
                <w:kern w:val="0"/>
              </w:rPr>
              <w:t>实验室中进行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8.1.5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开展低致病性病原微生物（列入三类、四类），或经灭活的高致病性感染性材料的相关实验和研究，必须在</w:t>
            </w:r>
            <w:r>
              <w:rPr>
                <w:color w:val="000000"/>
                <w:kern w:val="0"/>
              </w:rPr>
              <w:t>BSL-1/ ABSL-1</w:t>
            </w:r>
            <w:r>
              <w:rPr>
                <w:rFonts w:hint="eastAsia"/>
                <w:color w:val="000000"/>
                <w:kern w:val="0"/>
              </w:rPr>
              <w:t>及以上等级实验室中进行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8.1.6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饲养实验动物的场所应有资质证书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8.1.7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实验动物系从具有资质的单位购买的，具有合格证明</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8.2</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设施与场所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实验室安全防范设施达到安全要求，对</w:t>
            </w:r>
            <w:r>
              <w:rPr>
                <w:color w:val="000000"/>
                <w:kern w:val="0"/>
              </w:rPr>
              <w:t>BSL-2/ABSL-2</w:t>
            </w:r>
            <w:r>
              <w:rPr>
                <w:rFonts w:hint="eastAsia"/>
                <w:color w:val="000000"/>
                <w:kern w:val="0"/>
              </w:rPr>
              <w:t>及以上等级实验室需有门禁和准入制度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配有符合相应生物安全等级要求的生物安全柜，定期检查生物安全柜风速及高效空气微粒过滤器性能，并做好了记录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储存病原微生物的场所或储柜配备防盗设施，并安装监控报警装置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8.2.4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有高压灭菌器，并能正常工作</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8.2.5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安装了防虫纱窗、入口处有挡鼠板</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8.3</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高致病性病原微生物采购前需经行业主管部门批准，有记录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实验室自行分离的高致病性病原微生物，需报卫生或农业主管部门批准，方可保藏</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有病原微生物保藏、实验使用、销毁的记录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在合适的生物安全柜中进行实验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对病原微生物的操作具有相应的个人防护措施</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BSL-2 /ABSL-2</w:t>
            </w:r>
            <w:r>
              <w:rPr>
                <w:rFonts w:hint="eastAsia"/>
                <w:color w:val="000000"/>
                <w:kern w:val="0"/>
              </w:rPr>
              <w:t>及以上等级实验室，开展病原微生物的相关实验活动应有风险评估和应急预案</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rPr>
              <w:t>禁止戴实验防护手套操作未受潜在感染性生物材料污染的设施设备（包括门窗、开关、仪器、冰箱、电脑、电话等）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8.3.8</w:t>
            </w:r>
          </w:p>
        </w:tc>
        <w:tc>
          <w:tcPr>
            <w:tcW w:w="4762" w:type="dxa"/>
            <w:tcMar>
              <w:top w:w="28" w:type="dxa"/>
              <w:left w:w="28" w:type="dxa"/>
              <w:bottom w:w="28" w:type="dxa"/>
              <w:right w:w="28" w:type="dxa"/>
            </w:tcMar>
            <w:vAlign w:val="center"/>
          </w:tcPr>
          <w:p>
            <w:pPr>
              <w:widowControl/>
              <w:spacing w:line="240" w:lineRule="exact"/>
              <w:jc w:val="left"/>
              <w:rPr>
                <w:color w:val="000000"/>
              </w:rPr>
            </w:pPr>
            <w:r>
              <w:rPr>
                <w:rFonts w:hint="eastAsia"/>
                <w:color w:val="000000"/>
              </w:rPr>
              <w:t>用于解剖的实验动物须经过检验检疫合格</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8.3.9</w:t>
            </w:r>
          </w:p>
        </w:tc>
        <w:tc>
          <w:tcPr>
            <w:tcW w:w="4762" w:type="dxa"/>
            <w:tcMar>
              <w:top w:w="28" w:type="dxa"/>
              <w:left w:w="28" w:type="dxa"/>
              <w:bottom w:w="28" w:type="dxa"/>
              <w:right w:w="28" w:type="dxa"/>
            </w:tcMar>
            <w:vAlign w:val="center"/>
          </w:tcPr>
          <w:p>
            <w:pPr>
              <w:widowControl/>
              <w:spacing w:line="240" w:lineRule="exact"/>
              <w:jc w:val="left"/>
              <w:rPr>
                <w:color w:val="000000"/>
              </w:rPr>
            </w:pPr>
            <w:r>
              <w:rPr>
                <w:rFonts w:hint="eastAsia"/>
                <w:color w:val="000000"/>
              </w:rPr>
              <w:t>解剖实验动物时，必须做好个人防护</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8.4</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生物实验废弃物处置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8.4.1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涉及病原微生物的实验室废弃物必须进行高温高压灭菌或化学浸泡灭菌处理，并有处置的记录。高致病性生物材料废弃物处置实现溯源追踪</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8.4.2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学校有统一的生化固体废弃物标签</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8.4.3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配备了生化固废分类容器（一般生化固废使用黄色塑料袋存放，但刀片、移液枪头等尖锐物应使用纸板箱外包装以避免穿透伤人）</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8.4.4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对生物实验废弃物进行了分类收集，并贴好标签，及时送学校中转站或收集点</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8.4.5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与有资质的单位签约处置生化废弃物，有处置记录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8.4.6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无实验废弃物和生活垃圾混放现象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9</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9.1</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9.1.1</w:t>
            </w:r>
          </w:p>
        </w:tc>
        <w:tc>
          <w:tcPr>
            <w:tcW w:w="4762" w:type="dxa"/>
            <w:tcMar>
              <w:top w:w="28" w:type="dxa"/>
              <w:left w:w="28" w:type="dxa"/>
              <w:bottom w:w="28" w:type="dxa"/>
              <w:right w:w="28" w:type="dxa"/>
            </w:tcMar>
            <w:vAlign w:val="center"/>
          </w:tcPr>
          <w:p>
            <w:pPr>
              <w:widowControl/>
              <w:spacing w:line="240" w:lineRule="exact"/>
              <w:rPr>
                <w:b/>
                <w:color w:val="000000"/>
                <w:kern w:val="0"/>
              </w:rPr>
            </w:pPr>
            <w:r>
              <w:rPr>
                <w:rFonts w:hint="eastAsia"/>
                <w:color w:val="000000"/>
                <w:kern w:val="0"/>
              </w:rPr>
              <w:t>取得</w:t>
            </w:r>
            <w:r>
              <w:rPr>
                <w:color w:val="000000"/>
                <w:kern w:val="0"/>
              </w:rPr>
              <w:t>“</w:t>
            </w:r>
            <w:r>
              <w:rPr>
                <w:rFonts w:hint="eastAsia"/>
                <w:color w:val="000000"/>
                <w:kern w:val="0"/>
              </w:rPr>
              <w:t>辐射安全许可证</w:t>
            </w:r>
            <w:r>
              <w:rPr>
                <w:color w:val="000000"/>
                <w:kern w:val="0"/>
              </w:rPr>
              <w:t>”</w:t>
            </w:r>
            <w:r>
              <w:rPr>
                <w:rFonts w:hint="eastAsia"/>
                <w:color w:val="000000"/>
                <w:kern w:val="0"/>
              </w:rPr>
              <w:t>，并按规定在放射性核素种类和用量许可范围内开展实验</w:t>
            </w:r>
          </w:p>
        </w:tc>
        <w:tc>
          <w:tcPr>
            <w:tcW w:w="405" w:type="dxa"/>
            <w:vAlign w:val="center"/>
          </w:tcPr>
          <w:p>
            <w:pPr>
              <w:widowControl/>
              <w:spacing w:line="240" w:lineRule="exact"/>
              <w:rPr>
                <w:b/>
                <w:color w:val="000000"/>
                <w:kern w:val="0"/>
              </w:rPr>
            </w:pPr>
          </w:p>
        </w:tc>
        <w:tc>
          <w:tcPr>
            <w:tcW w:w="419" w:type="dxa"/>
            <w:vAlign w:val="center"/>
          </w:tcPr>
          <w:p>
            <w:pPr>
              <w:widowControl/>
              <w:spacing w:line="240" w:lineRule="exact"/>
              <w:rPr>
                <w:b/>
                <w:color w:val="000000"/>
                <w:kern w:val="0"/>
              </w:rPr>
            </w:pPr>
          </w:p>
        </w:tc>
        <w:tc>
          <w:tcPr>
            <w:tcW w:w="448" w:type="dxa"/>
            <w:vAlign w:val="center"/>
          </w:tcPr>
          <w:p>
            <w:pPr>
              <w:widowControl/>
              <w:spacing w:line="240" w:lineRule="exact"/>
              <w:rPr>
                <w:b/>
                <w:color w:val="000000"/>
                <w:kern w:val="0"/>
              </w:rPr>
            </w:pPr>
          </w:p>
        </w:tc>
        <w:tc>
          <w:tcPr>
            <w:tcW w:w="396" w:type="dxa"/>
            <w:vAlign w:val="center"/>
          </w:tcPr>
          <w:p>
            <w:pPr>
              <w:widowControl/>
              <w:spacing w:line="240" w:lineRule="exact"/>
              <w:rPr>
                <w:b/>
                <w:color w:val="000000"/>
                <w:kern w:val="0"/>
              </w:rPr>
            </w:pPr>
          </w:p>
        </w:tc>
        <w:tc>
          <w:tcPr>
            <w:tcW w:w="2179" w:type="dxa"/>
            <w:gridSpan w:val="2"/>
            <w:vAlign w:val="center"/>
          </w:tcPr>
          <w:p>
            <w:pPr>
              <w:widowControl/>
              <w:spacing w:line="240" w:lineRule="exact"/>
              <w:jc w:val="left"/>
              <w:rPr>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放射性操作人员经过了专门培训，有《辐射安全与防护培训学习合格证书》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涉辐人员按时参加职业体检</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9.1.4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涉辐人员佩带个人剂量计，并按时进行剂量检测（</w:t>
            </w:r>
            <w:r>
              <w:rPr>
                <w:color w:val="000000"/>
                <w:kern w:val="0"/>
              </w:rPr>
              <w:t>3</w:t>
            </w:r>
            <w:r>
              <w:rPr>
                <w:rFonts w:hint="eastAsia"/>
                <w:color w:val="000000"/>
                <w:kern w:val="0"/>
              </w:rPr>
              <w:t>个月一次）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9.2</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辐照设施设备具有能正常工作的安全连锁装置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放射源储存库双门双控，并有安全报警系统（与公安部门</w:t>
            </w:r>
            <w:r>
              <w:rPr>
                <w:color w:val="000000"/>
                <w:kern w:val="0"/>
              </w:rPr>
              <w:t>110</w:t>
            </w:r>
            <w:r>
              <w:rPr>
                <w:rFonts w:hint="eastAsia"/>
                <w:color w:val="000000"/>
                <w:kern w:val="0"/>
              </w:rPr>
              <w:t>联网）和视频监控系统</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涉辐实验场所（放射性物质、</w:t>
            </w:r>
            <w:r>
              <w:rPr>
                <w:color w:val="000000"/>
                <w:kern w:val="0"/>
              </w:rPr>
              <w:t>X</w:t>
            </w:r>
            <w:r>
              <w:rPr>
                <w:rFonts w:hint="eastAsia"/>
                <w:color w:val="000000"/>
                <w:kern w:val="0"/>
              </w:rPr>
              <w:t>射线装置）有安全警示标识、警戒线和剂量报警仪</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9.2.4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涉辐实验场所配备各种辐射防护器材和表面污染监测仪器设备</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9.2.5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有专门存放放射性废弃物的容器和暂存库</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9.2.6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非密封性放射性实验室有衰减池</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9.3</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采购、转让转移与运输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9.3.1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放射源和放射性物质的采购和转让转移有学校及政府环保部门的审批备案材料</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9.3.2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放射源和放射性物质的转移和运输有学校及公安部门的审批备案材料</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9.3.3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放射源和放射性物质变更有及时登记台帐</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9.4</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辐照装置、射线探伤仪和非密封性放射性实验操作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9.4.1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ascii="Times New Roman" w:hAnsi="Times New Roman"/>
                <w:color w:val="000000"/>
                <w:kern w:val="0"/>
              </w:rPr>
              <w:t>Г</w:t>
            </w:r>
            <w:r>
              <w:rPr>
                <w:rFonts w:hint="eastAsia"/>
                <w:color w:val="000000"/>
                <w:kern w:val="0"/>
              </w:rPr>
              <w:t>辐照装置有符合国家相关规定的操作规程、安保方案及应急预案，并遵照执行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9.4.2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ascii="Times New Roman" w:hAnsi="Times New Roman"/>
                <w:color w:val="000000"/>
                <w:kern w:val="0"/>
              </w:rPr>
              <w:t>电子加速器</w:t>
            </w:r>
            <w:r>
              <w:rPr>
                <w:rFonts w:hint="eastAsia"/>
                <w:color w:val="000000"/>
                <w:kern w:val="0"/>
              </w:rPr>
              <w:t>辐照装置有符合国家相关规定的操作规程、安保方案及应急预案，并遵照执行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9.4.3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射线探伤仪有符合国家相关规定的操作规程、安保方案及应急预案，并遵照执行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9.4.4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非密封性放射性实验操作有符合国家相关规定的操作规程，并遵照执行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9.5</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放射性实验废物的处置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9.5.1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报废含有放射源或可产生放射性的设备，需报学校管理部门同意，并按国家规定进行退役处置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9.5.2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中、长半衰期核素固液废弃物有符合国家相关规定的处置方案或回收协议，并有处置记录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9.5.3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短半衰期核素固液废弃物放置</w:t>
            </w:r>
            <w:r>
              <w:rPr>
                <w:color w:val="000000"/>
                <w:kern w:val="0"/>
              </w:rPr>
              <w:t>10</w:t>
            </w:r>
            <w:r>
              <w:rPr>
                <w:rFonts w:hint="eastAsia"/>
                <w:color w:val="000000"/>
                <w:kern w:val="0"/>
              </w:rPr>
              <w:t>个半衰期经检测达标后作为普通废物处理，并有处置记录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9.6</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9.6.1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bCs/>
                <w:color w:val="000000"/>
                <w:kern w:val="0"/>
              </w:rPr>
              <w:t>有激光器的安全使用方法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9.6.2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bCs/>
                <w:color w:val="000000"/>
                <w:kern w:val="0"/>
              </w:rPr>
              <w:t>功率较大的激光器有互锁装置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9.6.3</w:t>
            </w:r>
          </w:p>
        </w:tc>
        <w:tc>
          <w:tcPr>
            <w:tcW w:w="4762" w:type="dxa"/>
            <w:tcMar>
              <w:top w:w="28" w:type="dxa"/>
              <w:left w:w="28" w:type="dxa"/>
              <w:bottom w:w="28" w:type="dxa"/>
              <w:right w:w="28" w:type="dxa"/>
            </w:tcMar>
            <w:vAlign w:val="center"/>
          </w:tcPr>
          <w:p>
            <w:pPr>
              <w:widowControl/>
              <w:spacing w:line="240" w:lineRule="exact"/>
              <w:jc w:val="left"/>
              <w:rPr>
                <w:bCs/>
                <w:color w:val="000000"/>
                <w:kern w:val="0"/>
              </w:rPr>
            </w:pPr>
            <w:r>
              <w:rPr>
                <w:rFonts w:hint="eastAsia"/>
                <w:bCs/>
                <w:color w:val="000000"/>
                <w:kern w:val="0"/>
              </w:rPr>
              <w:t>操作人员有穿戴防护眼镜等防护用品</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9.6.4</w:t>
            </w:r>
          </w:p>
        </w:tc>
        <w:tc>
          <w:tcPr>
            <w:tcW w:w="4762" w:type="dxa"/>
            <w:tcMar>
              <w:top w:w="28" w:type="dxa"/>
              <w:left w:w="28" w:type="dxa"/>
              <w:bottom w:w="28" w:type="dxa"/>
              <w:right w:w="28" w:type="dxa"/>
            </w:tcMar>
            <w:vAlign w:val="center"/>
          </w:tcPr>
          <w:p>
            <w:pPr>
              <w:widowControl/>
              <w:spacing w:line="240" w:lineRule="exact"/>
              <w:jc w:val="left"/>
              <w:rPr>
                <w:bCs/>
                <w:color w:val="000000"/>
                <w:kern w:val="0"/>
              </w:rPr>
            </w:pPr>
            <w:r>
              <w:rPr>
                <w:rFonts w:hint="eastAsia"/>
                <w:bCs/>
                <w:color w:val="000000"/>
                <w:kern w:val="0"/>
              </w:rPr>
              <w:t>操作人员不带手表等能反光的物品</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9.6.5</w:t>
            </w:r>
          </w:p>
        </w:tc>
        <w:tc>
          <w:tcPr>
            <w:tcW w:w="4762" w:type="dxa"/>
            <w:tcMar>
              <w:top w:w="28" w:type="dxa"/>
              <w:left w:w="28" w:type="dxa"/>
              <w:bottom w:w="28" w:type="dxa"/>
              <w:right w:w="28" w:type="dxa"/>
            </w:tcMar>
            <w:vAlign w:val="center"/>
          </w:tcPr>
          <w:p>
            <w:pPr>
              <w:widowControl/>
              <w:spacing w:line="240" w:lineRule="exact"/>
              <w:jc w:val="left"/>
              <w:rPr>
                <w:bCs/>
                <w:color w:val="000000"/>
                <w:kern w:val="0"/>
              </w:rPr>
            </w:pPr>
            <w:r>
              <w:rPr>
                <w:rFonts w:hint="eastAsia"/>
                <w:bCs/>
                <w:color w:val="000000"/>
                <w:kern w:val="0"/>
              </w:rPr>
              <w:t>激光照射方向不会对他人造成伤害</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10</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仪器设备安全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10.1</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建立了设备台帐</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高功率的设备与电路容量相匹配</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仪器设备接地良好</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仪器设备使用完后，及时关闭电源，包括电脑显示器电源</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有仪器设备运行、维护的记录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对于高温、高压、高速运动、电磁辐射等特殊设备，有安全警示标识，并配备相应安全防护设施（如防护罩、防护栏、自屏蔽设施等）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无电脑、空调、饮水机等随意开机过夜现象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对于不能断电的特殊仪器设备，采取了必要的防护措施（如双路供电、不间断电源等）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10.1.9</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特种设备（锅炉、压力容器、起重机械等）需有资质单位出具的检定证明，操作人员需持证上岗</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10.1.10</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电子天平不放在阳光直射的地方，且用后及时清理</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10.2</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冰箱管理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贮存危险化学品的冰箱为防爆冰箱或经过防爆改造的冰箱</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冰箱内存放的物品必须标识明确（包括品名、使用人、日期等），并经常清理</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冰箱内储存试剂必须密封好</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10.2.4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无冰箱超期服役现象（一般使用期限控制为</w:t>
            </w:r>
            <w:r>
              <w:rPr>
                <w:color w:val="000000"/>
                <w:kern w:val="0"/>
              </w:rPr>
              <w:t>10</w:t>
            </w:r>
            <w:r>
              <w:rPr>
                <w:rFonts w:hint="eastAsia"/>
                <w:color w:val="000000"/>
                <w:kern w:val="0"/>
              </w:rPr>
              <w:t>年）</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10.2.5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不在冰箱周围堆放杂物，影响散热</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10.2.6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实验室冰箱中不放置食品</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10.3</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bookmarkStart w:id="0" w:name="OLE_LINK2"/>
            <w:r>
              <w:rPr>
                <w:rFonts w:hint="eastAsia"/>
                <w:b/>
                <w:color w:val="000000"/>
                <w:kern w:val="0"/>
              </w:rPr>
              <w:t>烘箱与电阻炉</w:t>
            </w:r>
            <w:bookmarkEnd w:id="0"/>
            <w:r>
              <w:rPr>
                <w:rFonts w:hint="eastAsia"/>
                <w:b/>
                <w:color w:val="000000"/>
                <w:kern w:val="0"/>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烘箱、电阻炉无超期服役现象（一般使用期限控制为</w:t>
            </w:r>
            <w:r>
              <w:rPr>
                <w:color w:val="000000"/>
                <w:kern w:val="0"/>
              </w:rPr>
              <w:t>12</w:t>
            </w:r>
            <w:r>
              <w:rPr>
                <w:rFonts w:hint="eastAsia"/>
                <w:color w:val="000000"/>
                <w:kern w:val="0"/>
              </w:rPr>
              <w:t>年）</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不使用有故障、破损的烘箱、电阻炉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不在烘箱等加热设备内烘烤易燃易爆化学试剂、塑料等易燃物品</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不使用塑料筐盛放实验物品在烘箱等加热设备内烘烤</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烘箱、电阻炉等附近不存放气体钢瓶、易燃易爆化学品</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烘箱、电阻炉等加热设备周围要有一定的散热空间，不存在堆放杂物，影响散热的现象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使用烘箱、电阻炉等加热设备时有人值守（或</w:t>
            </w:r>
            <w:r>
              <w:rPr>
                <w:color w:val="000000"/>
                <w:kern w:val="0"/>
              </w:rPr>
              <w:t>10-15</w:t>
            </w:r>
            <w:r>
              <w:rPr>
                <w:rFonts w:hint="eastAsia"/>
                <w:color w:val="000000"/>
                <w:kern w:val="0"/>
              </w:rPr>
              <w:t>分钟检查一次）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无烘箱位置放置过低、影响物品取用的现象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10.3.9</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烘箱、电阻炉等不直接放置在木桌、木板等易燃物品上</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10.4</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明火电炉与电吹风等管理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10.4.1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未经学校管理部门许可不使用明火电炉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10.4.2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有许可证使用明火电炉的，其使用位置周围无易燃物品，并配备了灭火器、砂桶等灭火设施</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10.4.3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不使用明火电炉加热易燃易爆溶剂</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10.4.4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明火电炉、电吹风、电热枪、电烙铁等用毕，及时拔除电源插头</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b/>
                <w:color w:val="000000"/>
                <w:kern w:val="0"/>
              </w:rPr>
            </w:pPr>
            <w:r>
              <w:rPr>
                <w:b/>
                <w:color w:val="000000"/>
                <w:kern w:val="0"/>
              </w:rPr>
              <w:t>11</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个人防护与其它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11.1</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正确选用防护用品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穿实验服或防护服</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按需要佩戴防护眼镜（如进行化学实验、有危险的机械操作等）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涉及化学和高温实验时，不得佩戴隐形眼镜</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11.1.4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特殊场所按需佩戴了安全帽、防护帽，无长发飘散在外的现象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11.1.5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按需要佩戴防护手套（涉及不同的有害化学物质、病原微生物、高温和低温等），并正确选择不同种类和材质的手套</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11.1.6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在特殊的实验室使用呼吸器或面罩（如有挥发性毒物、溅射危险等），并正确选择种类</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11.2</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危险性实验（如高温、高压、高速运转等）时必须有两人在场</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实验时不能脱岗，通宵实验须两人在场</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实验室内无穿拖鞋、短裤等现象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11.2.4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非实验区（如电梯、办公室、休息室、会议室、餐厅等）无穿戴实验服、实验手套等现象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11.2.5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操作机床等旋转设备时，不穿戴长围巾、丝巾、领带等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11.2.6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手机、银行卡等不带入高磁场实验室</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11.2.7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有规范的实验记录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bl>
    <w:p>
      <w:bookmarkStart w:id="1" w:name="_GoBack"/>
      <w:bookmarkEnd w:id="1"/>
    </w:p>
    <w:sectPr>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Calibri">
    <w:altName w:val="微软雅黑"/>
    <w:panose1 w:val="020F0502020204030204"/>
    <w:charset w:val="00"/>
    <w:family w:val="swiss"/>
    <w:pitch w:val="default"/>
    <w:sig w:usb0="E10002FF" w:usb1="4000ACFF" w:usb2="00000009"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文鼎大标宋简">
    <w:altName w:val="宋体"/>
    <w:panose1 w:val="00000000000000000000"/>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55AEE"/>
    <w:rsid w:val="00E55FC0"/>
    <w:rsid w:val="773B78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460" w:lineRule="exact"/>
      <w:jc w:val="both"/>
    </w:pPr>
    <w:rPr>
      <w:rFonts w:ascii="Calibri" w:hAnsi="Calibri" w:eastAsia="宋体" w:cs="Calibri"/>
      <w:kern w:val="2"/>
      <w:sz w:val="21"/>
      <w:szCs w:val="21"/>
      <w:lang w:val="en-US" w:eastAsia="zh-CN"/>
    </w:rPr>
  </w:style>
  <w:style w:type="paragraph" w:styleId="2">
    <w:name w:val="heading 1"/>
    <w:basedOn w:val="1"/>
    <w:link w:val="27"/>
    <w:uiPriority w:val="0"/>
    <w:pPr>
      <w:widowControl/>
      <w:spacing w:before="100" w:beforeLines="0" w:beforeAutospacing="1" w:after="100" w:afterLines="0" w:afterAutospacing="1"/>
      <w:jc w:val="left"/>
      <w:outlineLvl w:val="0"/>
    </w:pPr>
    <w:rPr>
      <w:rFonts w:ascii="宋体" w:eastAsia="宋体" w:cs="宋体"/>
      <w:b/>
      <w:bCs/>
      <w:kern w:val="36"/>
      <w:sz w:val="48"/>
      <w:szCs w:val="48"/>
    </w:rPr>
  </w:style>
  <w:style w:type="paragraph" w:styleId="3">
    <w:name w:val="heading 2"/>
    <w:basedOn w:val="1"/>
    <w:link w:val="28"/>
    <w:uiPriority w:val="0"/>
    <w:pPr>
      <w:widowControl/>
      <w:spacing w:before="100" w:beforeLines="0" w:beforeAutospacing="1" w:after="100" w:afterLines="0" w:afterAutospacing="1"/>
      <w:jc w:val="left"/>
      <w:outlineLvl w:val="1"/>
    </w:pPr>
    <w:rPr>
      <w:rFonts w:ascii="宋体" w:eastAsia="宋体" w:cs="Times New Roman"/>
      <w:b/>
      <w:bCs/>
      <w:sz w:val="36"/>
      <w:szCs w:val="36"/>
    </w:rPr>
  </w:style>
  <w:style w:type="character" w:default="1" w:styleId="9">
    <w:name w:val="Default Paragraph Font"/>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4">
    <w:name w:val="caption"/>
    <w:basedOn w:val="1"/>
    <w:next w:val="1"/>
    <w:uiPriority w:val="0"/>
    <w:pPr>
      <w:spacing w:before="152" w:beforeLines="0" w:after="160" w:afterLines="0"/>
    </w:pPr>
    <w:rPr>
      <w:rFonts w:ascii="Arial" w:hAnsi="Arial" w:eastAsia="黑体" w:cs="Times New Roman"/>
      <w:szCs w:val="20"/>
    </w:rPr>
  </w:style>
  <w:style w:type="paragraph" w:styleId="5">
    <w:name w:val="Body Text"/>
    <w:basedOn w:val="1"/>
    <w:link w:val="37"/>
    <w:uiPriority w:val="0"/>
    <w:pPr>
      <w:spacing w:line="380" w:lineRule="exact"/>
    </w:pPr>
    <w:rPr>
      <w:rFonts w:eastAsia="仿宋_GB2312" w:cs="Times New Roman"/>
      <w:kern w:val="2"/>
      <w:sz w:val="28"/>
    </w:rPr>
  </w:style>
  <w:style w:type="paragraph" w:styleId="6">
    <w:name w:val="Balloon Text"/>
    <w:basedOn w:val="1"/>
    <w:link w:val="39"/>
    <w:uiPriority w:val="0"/>
    <w:rPr>
      <w:rFonts w:cs="Times New Roman"/>
      <w:kern w:val="2"/>
      <w:sz w:val="18"/>
      <w:szCs w:val="18"/>
    </w:rPr>
  </w:style>
  <w:style w:type="paragraph" w:styleId="7">
    <w:name w:val="footer"/>
    <w:basedOn w:val="1"/>
    <w:link w:val="32"/>
    <w:uiPriority w:val="0"/>
    <w:pPr>
      <w:tabs>
        <w:tab w:val="center" w:pos="4153"/>
        <w:tab w:val="right" w:pos="8306"/>
      </w:tabs>
      <w:snapToGrid w:val="0"/>
      <w:jc w:val="left"/>
    </w:pPr>
    <w:rPr>
      <w:rFonts w:cs="Times New Roman"/>
      <w:kern w:val="2"/>
      <w:sz w:val="18"/>
    </w:rPr>
  </w:style>
  <w:style w:type="paragraph" w:styleId="8">
    <w:name w:val="header"/>
    <w:basedOn w:val="1"/>
    <w:link w:val="34"/>
    <w:uiPriority w:val="0"/>
    <w:pPr>
      <w:pBdr>
        <w:bottom w:val="single" w:color="auto" w:sz="6" w:space="1"/>
      </w:pBdr>
      <w:tabs>
        <w:tab w:val="center" w:pos="4153"/>
        <w:tab w:val="right" w:pos="8306"/>
      </w:tabs>
      <w:snapToGrid w:val="0"/>
      <w:jc w:val="center"/>
    </w:pPr>
    <w:rPr>
      <w:rFonts w:cs="Times New Roman"/>
      <w:kern w:val="2"/>
      <w:sz w:val="18"/>
    </w:rPr>
  </w:style>
  <w:style w:type="character" w:styleId="10">
    <w:name w:val="FollowedHyperlink"/>
    <w:basedOn w:val="9"/>
    <w:uiPriority w:val="0"/>
    <w:rPr>
      <w:rFonts w:cs="Times New Roman"/>
      <w:color w:val="800080"/>
      <w:u w:val="single"/>
    </w:rPr>
  </w:style>
  <w:style w:type="character" w:styleId="11">
    <w:name w:val="Hyperlink"/>
    <w:basedOn w:val="9"/>
    <w:uiPriority w:val="0"/>
    <w:rPr>
      <w:rFonts w:cs="Times New Roman"/>
      <w:color w:val="1B227E"/>
      <w:u w:val="none"/>
    </w:rPr>
  </w:style>
  <w:style w:type="character" w:styleId="12">
    <w:name w:val="footnote reference"/>
    <w:basedOn w:val="9"/>
    <w:uiPriority w:val="0"/>
    <w:rPr>
      <w:rFonts w:cs="Times New Roman"/>
      <w:vertAlign w:val="superscript"/>
    </w:rPr>
  </w:style>
  <w:style w:type="paragraph" w:customStyle="1" w:styleId="14">
    <w:name w:val="函号"/>
    <w:basedOn w:val="1"/>
    <w:uiPriority w:val="0"/>
    <w:pPr>
      <w:adjustRightInd w:val="0"/>
      <w:spacing w:line="440" w:lineRule="atLeast"/>
      <w:jc w:val="right"/>
      <w:textAlignment w:val="bottom"/>
    </w:pPr>
    <w:rPr>
      <w:rFonts w:ascii="Times New Roman" w:hAnsi="Times New Roman" w:eastAsia="仿宋_GB2312" w:cs="Times New Roman"/>
      <w:kern w:val="0"/>
      <w:sz w:val="28"/>
      <w:szCs w:val="20"/>
    </w:rPr>
  </w:style>
  <w:style w:type="paragraph" w:customStyle="1" w:styleId="15">
    <w:name w:val="Plain Text"/>
    <w:basedOn w:val="1"/>
    <w:link w:val="36"/>
    <w:uiPriority w:val="0"/>
    <w:rPr>
      <w:rFonts w:ascii="宋体" w:hAnsi="Courier New" w:cs="Times New Roman"/>
      <w:kern w:val="2"/>
      <w:sz w:val="21"/>
    </w:rPr>
  </w:style>
  <w:style w:type="paragraph" w:customStyle="1" w:styleId="16">
    <w:name w:val="文号"/>
    <w:basedOn w:val="1"/>
    <w:uiPriority w:val="0"/>
    <w:pPr>
      <w:adjustRightInd w:val="0"/>
      <w:spacing w:before="2550" w:beforeLines="0" w:line="360" w:lineRule="atLeast"/>
      <w:jc w:val="center"/>
      <w:textAlignment w:val="baseline"/>
    </w:pPr>
    <w:rPr>
      <w:rFonts w:ascii="Times New Roman" w:hAnsi="Times New Roman" w:eastAsia="仿宋_GB2312" w:cs="Times New Roman"/>
      <w:kern w:val="0"/>
      <w:sz w:val="28"/>
      <w:szCs w:val="20"/>
    </w:rPr>
  </w:style>
  <w:style w:type="paragraph" w:customStyle="1" w:styleId="17">
    <w:name w:val="Normal (Web)"/>
    <w:basedOn w:val="1"/>
    <w:uiPriority w:val="0"/>
    <w:pPr>
      <w:widowControl/>
      <w:spacing w:before="100" w:beforeLines="0" w:beforeAutospacing="1" w:after="100" w:afterLines="0" w:afterAutospacing="1"/>
      <w:jc w:val="left"/>
    </w:pPr>
    <w:rPr>
      <w:rFonts w:ascii="宋体" w:hAnsi="宋体" w:cs="Times New Roman"/>
      <w:kern w:val="0"/>
      <w:sz w:val="24"/>
      <w:szCs w:val="24"/>
    </w:rPr>
  </w:style>
  <w:style w:type="paragraph" w:customStyle="1" w:styleId="18">
    <w:name w:val="ordinary-output"/>
    <w:basedOn w:val="1"/>
    <w:uiPriority w:val="0"/>
    <w:pPr>
      <w:widowControl/>
      <w:spacing w:before="100" w:beforeLines="0" w:beforeAutospacing="1" w:after="75" w:afterLines="0" w:line="330" w:lineRule="atLeast"/>
      <w:jc w:val="left"/>
    </w:pPr>
    <w:rPr>
      <w:rFonts w:ascii="宋体" w:hAnsi="宋体" w:cs="宋体"/>
      <w:color w:val="333333"/>
      <w:kern w:val="0"/>
      <w:sz w:val="27"/>
      <w:szCs w:val="27"/>
    </w:rPr>
  </w:style>
  <w:style w:type="paragraph" w:customStyle="1" w:styleId="19">
    <w:name w:val="主题词"/>
    <w:basedOn w:val="1"/>
    <w:uiPriority w:val="0"/>
    <w:pPr>
      <w:adjustRightInd w:val="0"/>
      <w:spacing w:line="440" w:lineRule="atLeast"/>
      <w:jc w:val="left"/>
      <w:textAlignment w:val="bottom"/>
    </w:pPr>
    <w:rPr>
      <w:rFonts w:ascii="Times New Roman" w:hAnsi="Times New Roman" w:eastAsia="黑体" w:cs="Times New Roman"/>
      <w:kern w:val="0"/>
      <w:sz w:val="28"/>
      <w:szCs w:val="20"/>
    </w:rPr>
  </w:style>
  <w:style w:type="paragraph" w:customStyle="1" w:styleId="20">
    <w:name w:val="Date"/>
    <w:basedOn w:val="1"/>
    <w:next w:val="1"/>
    <w:link w:val="30"/>
    <w:uiPriority w:val="0"/>
    <w:rPr>
      <w:rFonts w:ascii="仿宋_GB2312" w:eastAsia="仿宋_GB2312" w:cs="Times New Roman"/>
      <w:kern w:val="2"/>
      <w:sz w:val="32"/>
    </w:rPr>
  </w:style>
  <w:style w:type="paragraph" w:customStyle="1" w:styleId="21">
    <w:name w:val="Body Text Indent 3"/>
    <w:basedOn w:val="1"/>
    <w:link w:val="29"/>
    <w:uiPriority w:val="0"/>
    <w:pPr>
      <w:adjustRightInd w:val="0"/>
      <w:snapToGrid w:val="0"/>
      <w:spacing w:line="360" w:lineRule="auto"/>
      <w:ind w:left="75" w:firstLine="345"/>
      <w:outlineLvl w:val="0"/>
    </w:pPr>
    <w:rPr>
      <w:rFonts w:ascii="宋体" w:eastAsia="宋体" w:cs="Times New Roman"/>
      <w:sz w:val="21"/>
      <w:szCs w:val="21"/>
    </w:rPr>
  </w:style>
  <w:style w:type="paragraph" w:customStyle="1" w:styleId="22">
    <w:name w:val="reader-word-layer reader-word-s19-13"/>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3">
    <w:name w:val="reader-word-layer reader-word-s19-5"/>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4">
    <w:name w:val="Body Text Indent"/>
    <w:basedOn w:val="1"/>
    <w:link w:val="31"/>
    <w:uiPriority w:val="0"/>
    <w:pPr>
      <w:ind w:firstLine="630"/>
    </w:pPr>
    <w:rPr>
      <w:rFonts w:ascii="仿宋_GB2312" w:eastAsia="仿宋_GB2312" w:cs="Times New Roman"/>
      <w:kern w:val="2"/>
      <w:sz w:val="32"/>
    </w:rPr>
  </w:style>
  <w:style w:type="paragraph" w:customStyle="1" w:styleId="25">
    <w:name w:val="大标题"/>
    <w:basedOn w:val="1"/>
    <w:uiPriority w:val="0"/>
    <w:pPr>
      <w:adjustRightInd w:val="0"/>
      <w:spacing w:before="2840" w:beforeLines="0" w:line="320" w:lineRule="atLeast"/>
      <w:jc w:val="center"/>
      <w:textAlignment w:val="bottom"/>
    </w:pPr>
    <w:rPr>
      <w:rFonts w:ascii="Times New Roman" w:hAnsi="Times New Roman" w:eastAsia="文鼎大标宋简" w:cs="Times New Roman"/>
      <w:kern w:val="0"/>
      <w:sz w:val="36"/>
      <w:szCs w:val="20"/>
    </w:rPr>
  </w:style>
  <w:style w:type="paragraph" w:customStyle="1" w:styleId="26">
    <w:name w:val="Body Text Indent 2"/>
    <w:basedOn w:val="1"/>
    <w:link w:val="35"/>
    <w:uiPriority w:val="0"/>
    <w:pPr>
      <w:tabs>
        <w:tab w:val="left" w:pos="1809"/>
      </w:tabs>
      <w:adjustRightInd w:val="0"/>
      <w:spacing w:line="480" w:lineRule="exact"/>
      <w:ind w:firstLine="555"/>
      <w:jc w:val="left"/>
      <w:textAlignment w:val="bottom"/>
    </w:pPr>
    <w:rPr>
      <w:rFonts w:ascii="仿宋_GB2312" w:eastAsia="仿宋_GB2312" w:cs="Times New Roman"/>
      <w:sz w:val="28"/>
    </w:rPr>
  </w:style>
  <w:style w:type="character" w:customStyle="1" w:styleId="27">
    <w:name w:val="Heading 1 Char"/>
    <w:basedOn w:val="9"/>
    <w:link w:val="2"/>
    <w:uiPriority w:val="0"/>
    <w:rPr>
      <w:rFonts w:ascii="宋体" w:eastAsia="宋体" w:cs="宋体"/>
      <w:b/>
      <w:bCs/>
      <w:kern w:val="36"/>
      <w:sz w:val="48"/>
      <w:szCs w:val="48"/>
    </w:rPr>
  </w:style>
  <w:style w:type="character" w:customStyle="1" w:styleId="28">
    <w:name w:val="Heading 2 Char"/>
    <w:basedOn w:val="9"/>
    <w:link w:val="3"/>
    <w:uiPriority w:val="0"/>
    <w:rPr>
      <w:rFonts w:ascii="宋体" w:eastAsia="宋体" w:cs="Times New Roman"/>
      <w:b/>
      <w:bCs/>
      <w:sz w:val="36"/>
      <w:szCs w:val="36"/>
    </w:rPr>
  </w:style>
  <w:style w:type="character" w:customStyle="1" w:styleId="29">
    <w:name w:val="Body Text Indent 3 Char"/>
    <w:basedOn w:val="9"/>
    <w:link w:val="21"/>
    <w:uiPriority w:val="0"/>
    <w:rPr>
      <w:rFonts w:ascii="宋体" w:eastAsia="宋体" w:cs="Times New Roman"/>
      <w:sz w:val="21"/>
      <w:szCs w:val="21"/>
    </w:rPr>
  </w:style>
  <w:style w:type="character" w:customStyle="1" w:styleId="30">
    <w:name w:val="Date Char"/>
    <w:basedOn w:val="9"/>
    <w:link w:val="20"/>
    <w:uiPriority w:val="0"/>
    <w:rPr>
      <w:rFonts w:ascii="仿宋_GB2312" w:eastAsia="仿宋_GB2312" w:cs="Times New Roman"/>
      <w:kern w:val="2"/>
      <w:sz w:val="32"/>
    </w:rPr>
  </w:style>
  <w:style w:type="character" w:customStyle="1" w:styleId="31">
    <w:name w:val="Body Text Indent Char"/>
    <w:basedOn w:val="9"/>
    <w:link w:val="24"/>
    <w:uiPriority w:val="0"/>
    <w:rPr>
      <w:rFonts w:ascii="仿宋_GB2312" w:eastAsia="仿宋_GB2312" w:cs="Times New Roman"/>
      <w:kern w:val="2"/>
      <w:sz w:val="32"/>
    </w:rPr>
  </w:style>
  <w:style w:type="character" w:customStyle="1" w:styleId="32">
    <w:name w:val="Footer Char"/>
    <w:basedOn w:val="9"/>
    <w:link w:val="7"/>
    <w:uiPriority w:val="0"/>
    <w:rPr>
      <w:rFonts w:cs="Times New Roman"/>
      <w:kern w:val="2"/>
      <w:sz w:val="18"/>
    </w:rPr>
  </w:style>
  <w:style w:type="character" w:customStyle="1" w:styleId="33">
    <w:name w:val="page number"/>
    <w:basedOn w:val="9"/>
    <w:uiPriority w:val="0"/>
    <w:rPr>
      <w:rFonts w:cs="Times New Roman"/>
    </w:rPr>
  </w:style>
  <w:style w:type="character" w:customStyle="1" w:styleId="34">
    <w:name w:val="Header Char"/>
    <w:basedOn w:val="9"/>
    <w:link w:val="8"/>
    <w:uiPriority w:val="0"/>
    <w:rPr>
      <w:rFonts w:cs="Times New Roman"/>
      <w:kern w:val="2"/>
      <w:sz w:val="18"/>
    </w:rPr>
  </w:style>
  <w:style w:type="character" w:customStyle="1" w:styleId="35">
    <w:name w:val="Body Text Indent 2 Char"/>
    <w:basedOn w:val="9"/>
    <w:link w:val="26"/>
    <w:uiPriority w:val="0"/>
    <w:rPr>
      <w:rFonts w:ascii="仿宋_GB2312" w:eastAsia="仿宋_GB2312" w:cs="Times New Roman"/>
      <w:sz w:val="28"/>
    </w:rPr>
  </w:style>
  <w:style w:type="character" w:customStyle="1" w:styleId="36">
    <w:name w:val="Plain Text Char"/>
    <w:basedOn w:val="9"/>
    <w:link w:val="15"/>
    <w:uiPriority w:val="0"/>
    <w:rPr>
      <w:rFonts w:ascii="宋体" w:hAnsi="Courier New" w:cs="Times New Roman"/>
      <w:kern w:val="2"/>
      <w:sz w:val="21"/>
    </w:rPr>
  </w:style>
  <w:style w:type="character" w:customStyle="1" w:styleId="37">
    <w:name w:val="Body Text Char"/>
    <w:basedOn w:val="9"/>
    <w:link w:val="5"/>
    <w:uiPriority w:val="0"/>
    <w:rPr>
      <w:rFonts w:eastAsia="仿宋_GB2312" w:cs="Times New Roman"/>
      <w:kern w:val="2"/>
      <w:sz w:val="28"/>
    </w:rPr>
  </w:style>
  <w:style w:type="character" w:customStyle="1" w:styleId="38">
    <w:name w:val="unnamed2"/>
    <w:basedOn w:val="9"/>
    <w:uiPriority w:val="0"/>
    <w:rPr>
      <w:rFonts w:cs="Times New Roman"/>
    </w:rPr>
  </w:style>
  <w:style w:type="character" w:customStyle="1" w:styleId="39">
    <w:name w:val="Balloon Text Char"/>
    <w:basedOn w:val="9"/>
    <w:link w:val="6"/>
    <w:uiPriority w:val="0"/>
    <w:rPr>
      <w:rFonts w:cs="Times New Roman"/>
      <w:kern w:val="2"/>
      <w:sz w:val="18"/>
      <w:szCs w:val="18"/>
    </w:rPr>
  </w:style>
  <w:style w:type="character" w:customStyle="1" w:styleId="40">
    <w:name w:val="high-light-bg4"/>
    <w:basedOn w:val="9"/>
    <w:uiPriority w:val="0"/>
    <w:rPr>
      <w:rFonts w:cs="Times New Roman"/>
    </w:rPr>
  </w:style>
  <w:style w:type="character" w:customStyle="1" w:styleId="41">
    <w:name w:val="edited2"/>
    <w:basedOn w:val="9"/>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Normal_Wordconv.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Pages>
  <Words>1426</Words>
  <Characters>8131</Characters>
  <Lines>67</Lines>
  <Paragraphs>19</Paragraphs>
  <ScaleCrop>false</ScaleCrop>
  <LinksUpToDate>false</LinksUpToDate>
  <CharactersWithSpaces>9538</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2016-01-13T01:36:00Z</dcterms:created>
  <dc:creator>zju</dc:creator>
  <cp:lastModifiedBy>Administrator</cp:lastModifiedBy>
  <dcterms:modified xsi:type="dcterms:W3CDTF">2016-03-01T07:40:46Z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