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eastAsia="华文中宋"/>
          <w:spacing w:val="-40"/>
          <w:w w:val="60"/>
          <w:sz w:val="96"/>
        </w:rPr>
      </w:pPr>
      <w:bookmarkStart w:id="4" w:name="_GoBack"/>
      <w:bookmarkEnd w:id="4"/>
      <w:r>
        <w:rPr>
          <w:spacing w:val="-40"/>
          <w:w w:val="60"/>
          <w:sz w:val="96"/>
        </w:rPr>
        <mc:AlternateContent>
          <mc:Choice Requires="wps">
            <w:drawing>
              <wp:anchor distT="0" distB="0" distL="114300" distR="114300" simplePos="0" relativeHeight="251659264" behindDoc="0" locked="0" layoutInCell="1" allowOverlap="1">
                <wp:simplePos x="0" y="0"/>
                <wp:positionH relativeFrom="column">
                  <wp:posOffset>4694555</wp:posOffset>
                </wp:positionH>
                <wp:positionV relativeFrom="paragraph">
                  <wp:posOffset>430530</wp:posOffset>
                </wp:positionV>
                <wp:extent cx="1447165" cy="1123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47165" cy="1123950"/>
                        </a:xfrm>
                        <a:prstGeom prst="rect">
                          <a:avLst/>
                        </a:prstGeom>
                        <a:noFill/>
                        <a:ln>
                          <a:noFill/>
                        </a:ln>
                        <a:effectLst/>
                      </wps:spPr>
                      <wps:txbx>
                        <w:txbxContent>
                          <w:p>
                            <w:pPr>
                              <w:rPr>
                                <w:rFonts w:hint="eastAsia"/>
                                <w:b/>
                                <w:bCs/>
                                <w:color w:val="FF0000"/>
                                <w:w w:val="90"/>
                              </w:rPr>
                            </w:pPr>
                            <w:r>
                              <w:rPr>
                                <w:rFonts w:hint="eastAsia" w:eastAsia="华文中宋"/>
                                <w:b/>
                                <w:bCs/>
                                <w:color w:val="FF0000"/>
                                <w:spacing w:val="-70"/>
                                <w:w w:val="90"/>
                                <w:sz w:val="96"/>
                              </w:rPr>
                              <w:t>文件</w:t>
                            </w:r>
                          </w:p>
                        </w:txbxContent>
                      </wps:txbx>
                      <wps:bodyPr vert="horz" anchor="t" upright="1"/>
                    </wps:wsp>
                  </a:graphicData>
                </a:graphic>
              </wp:anchor>
            </w:drawing>
          </mc:Choice>
          <mc:Fallback>
            <w:pict>
              <v:shape id="_x0000_s1026" o:spid="_x0000_s1026" o:spt="202" type="#_x0000_t202" style="position:absolute;left:0pt;margin-left:369.65pt;margin-top:33.9pt;height:88.5pt;width:113.95pt;z-index:251659264;mso-width-relative:page;mso-height-relative:page;" filled="f" stroked="f" coordsize="21600,21600" o:gfxdata="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vnYidgAAAAKAQAADwAAAAAAAAABACAAAAAiAAAAZHJzL2Rvd25yZXYu&#10;eG1sUEsBAhQAFAAAAAgAh07iQLVxKBbCAQAAdAMAAA4AAAAAAAAAAQAgAAAAJwEAAGRycy9lMm9E&#10;b2MueG1sUEsFBgAAAAAGAAYAWQEAAFsFAAAAAA==&#10;">
                <v:fill on="f" focussize="0,0"/>
                <v:stroke on="f"/>
                <v:imagedata o:title=""/>
                <o:lock v:ext="edit" aspectratio="f"/>
                <v:textbox>
                  <w:txbxContent>
                    <w:p>
                      <w:pPr>
                        <w:rPr>
                          <w:rFonts w:hint="eastAsia"/>
                          <w:b/>
                          <w:bCs/>
                          <w:color w:val="FF0000"/>
                          <w:w w:val="90"/>
                        </w:rPr>
                      </w:pPr>
                      <w:r>
                        <w:rPr>
                          <w:rFonts w:hint="eastAsia" w:eastAsia="华文中宋"/>
                          <w:b/>
                          <w:bCs/>
                          <w:color w:val="FF0000"/>
                          <w:spacing w:val="-70"/>
                          <w:w w:val="90"/>
                          <w:sz w:val="96"/>
                        </w:rPr>
                        <w:t>文件</w:t>
                      </w:r>
                    </w:p>
                  </w:txbxContent>
                </v:textbox>
              </v:shape>
            </w:pict>
          </mc:Fallback>
        </mc:AlternateContent>
      </w:r>
      <w:r>
        <w:rPr>
          <w:rFonts w:hint="eastAsia" w:eastAsia="华文中宋"/>
          <w:spacing w:val="-40"/>
          <w:w w:val="60"/>
          <w:sz w:val="96"/>
        </w:rPr>
        <w:t>中共河北师范大学汇华学院委员会</w:t>
      </w:r>
    </w:p>
    <w:p>
      <w:pPr>
        <w:pStyle w:val="3"/>
        <w:jc w:val="left"/>
        <w:rPr>
          <w:rFonts w:ascii="Times New Roman" w:hAnsi="Times New Roman" w:eastAsia="仿宋_GB2312"/>
          <w:sz w:val="32"/>
        </w:rPr>
      </w:pPr>
      <w:r>
        <w:rPr>
          <w:rFonts w:hint="eastAsia" w:eastAsia="华文中宋"/>
          <w:spacing w:val="62"/>
          <w:sz w:val="96"/>
        </w:rPr>
        <w:t>河北师范大学汇华学院</w:t>
      </w:r>
    </w:p>
    <w:p>
      <w:pPr>
        <w:spacing w:before="312" w:beforeLines="100" w:line="460" w:lineRule="exact"/>
        <w:jc w:val="center"/>
        <w:rPr>
          <w:rFonts w:ascii="Times New Roman" w:hAnsi="Times New Roman" w:eastAsia="仿宋_GB2312"/>
          <w:color w:val="FF0000"/>
          <w:sz w:val="32"/>
        </w:rPr>
      </w:pPr>
      <w:r>
        <w:rPr>
          <w:rFonts w:hint="eastAsia" w:ascii="Times New Roman" w:hAnsi="Times New Roman" w:eastAsia="仿宋_GB2312"/>
          <w:sz w:val="32"/>
        </w:rPr>
        <w:t>院党文</w:t>
      </w:r>
      <w:r>
        <w:rPr>
          <w:rFonts w:hint="eastAsia" w:ascii="Times New Roman" w:hAnsi="Times New Roman"/>
          <w:sz w:val="32"/>
        </w:rPr>
        <w:t>〔</w:t>
      </w:r>
      <w:r>
        <w:rPr>
          <w:rFonts w:ascii="Times New Roman" w:hAnsi="Times New Roman" w:eastAsia="仿宋_GB2312"/>
          <w:sz w:val="32"/>
        </w:rPr>
        <w:t>20</w:t>
      </w:r>
      <w:r>
        <w:rPr>
          <w:rFonts w:hint="eastAsia" w:ascii="Times New Roman" w:hAnsi="Times New Roman" w:eastAsia="仿宋_GB2312"/>
          <w:sz w:val="32"/>
        </w:rPr>
        <w:t>2</w:t>
      </w:r>
      <w:r>
        <w:rPr>
          <w:rFonts w:hint="eastAsia" w:ascii="Times New Roman" w:hAnsi="Times New Roman" w:eastAsia="仿宋_GB2312"/>
          <w:sz w:val="32"/>
          <w:lang w:val="en-US" w:eastAsia="zh-CN"/>
        </w:rPr>
        <w:t>3</w:t>
      </w:r>
      <w:r>
        <w:rPr>
          <w:rFonts w:hint="eastAsia" w:ascii="Times New Roman" w:hAnsi="Times New Roman"/>
          <w:sz w:val="32"/>
        </w:rPr>
        <w:t>〕</w:t>
      </w:r>
      <w:r>
        <w:rPr>
          <w:rFonts w:hint="eastAsia" w:ascii="Times New Roman" w:hAnsi="Times New Roman"/>
          <w:sz w:val="32"/>
          <w:lang w:val="en-US" w:eastAsia="zh-CN"/>
        </w:rPr>
        <w:t>15</w:t>
      </w:r>
      <w:r>
        <w:rPr>
          <w:rFonts w:hint="eastAsia" w:ascii="Times New Roman" w:hAnsi="Times New Roman" w:eastAsia="仿宋_GB2312"/>
          <w:sz w:val="32"/>
        </w:rPr>
        <w:t>号</w:t>
      </w:r>
    </w:p>
    <w:p>
      <w:pPr>
        <w:pStyle w:val="3"/>
        <w:spacing w:line="340" w:lineRule="exact"/>
        <w:jc w:val="both"/>
      </w:pPr>
      <w:r>
        <w:rPr>
          <w:rFonts w:eastAsia="华文中宋"/>
          <w:b w:val="0"/>
          <w:bCs w:val="0"/>
          <w:sz w:val="28"/>
          <w:u w:val="thick"/>
        </w:rPr>
        <w:t xml:space="preserve">                                                                                               </w:t>
      </w:r>
      <w:r>
        <w:rPr>
          <w:rFonts w:hint="eastAsia" w:eastAsia="华文中宋"/>
          <w:b w:val="0"/>
          <w:bCs w:val="0"/>
          <w:sz w:val="28"/>
          <w:u w:val="thick"/>
        </w:rPr>
        <w:t xml:space="preserve">  </w:t>
      </w:r>
      <w:r>
        <w:rPr>
          <w:rFonts w:eastAsia="华文中宋"/>
          <w:b w:val="0"/>
          <w:bCs w:val="0"/>
          <w:sz w:val="28"/>
          <w:u w:val="thick"/>
        </w:rPr>
        <w:t xml:space="preserve">   </w:t>
      </w:r>
    </w:p>
    <w:p>
      <w:pPr>
        <w:jc w:val="center"/>
        <w:rPr>
          <w:rFonts w:ascii="Times New Roman" w:hAnsi="Times New Roman"/>
          <w:color w:val="FF0000"/>
        </w:rPr>
      </w:pPr>
    </w:p>
    <w:p>
      <w:pPr>
        <w:spacing w:line="200" w:lineRule="exact"/>
        <w:rPr>
          <w:rFonts w:ascii="Times New Roman" w:hAnsi="Times New Roman" w:eastAsia="华文中宋"/>
          <w:b/>
          <w:sz w:val="36"/>
          <w:szCs w:val="32"/>
        </w:rPr>
      </w:pP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中共河北师范大学汇华学院委员会</w:t>
      </w:r>
      <w:bookmarkStart w:id="0" w:name="_Toc338404916"/>
      <w:bookmarkStart w:id="1" w:name="_Toc339444058"/>
      <w:bookmarkStart w:id="2" w:name="_Toc339445446"/>
      <w:bookmarkStart w:id="3" w:name="_Toc345244384"/>
    </w:p>
    <w:p>
      <w:pPr>
        <w:spacing w:line="600" w:lineRule="exact"/>
        <w:ind w:firstLine="296" w:firstLineChars="43"/>
        <w:jc w:val="center"/>
        <w:rPr>
          <w:rFonts w:ascii="Times New Roman" w:hAnsi="Times New Roman" w:eastAsia="方正小标宋_GBK" w:cs="方正小标宋_GBK"/>
          <w:bCs/>
          <w:sz w:val="36"/>
          <w:szCs w:val="36"/>
        </w:rPr>
      </w:pPr>
      <w:r>
        <w:rPr>
          <w:rFonts w:hint="eastAsia" w:ascii="方正小标宋_GBK" w:hAnsi="方正小标宋_GBK" w:eastAsia="方正小标宋_GBK" w:cs="方正小标宋_GBK"/>
          <w:b w:val="0"/>
          <w:bCs/>
          <w:spacing w:val="125"/>
          <w:sz w:val="44"/>
          <w:szCs w:val="44"/>
        </w:rPr>
        <w:t>河北师范大学汇华学</w:t>
      </w:r>
      <w:r>
        <w:rPr>
          <w:rFonts w:hint="eastAsia" w:ascii="方正小标宋_GBK" w:hAnsi="方正小标宋_GBK" w:eastAsia="方正小标宋_GBK" w:cs="方正小标宋_GBK"/>
          <w:b w:val="0"/>
          <w:bCs/>
          <w:spacing w:val="153"/>
          <w:sz w:val="44"/>
          <w:szCs w:val="44"/>
        </w:rPr>
        <w:t>院</w:t>
      </w:r>
      <w:bookmarkEnd w:id="0"/>
      <w:bookmarkEnd w:id="1"/>
      <w:bookmarkEnd w:id="2"/>
      <w:bookmarkEnd w:id="3"/>
    </w:p>
    <w:p>
      <w:pPr>
        <w:pStyle w:val="13"/>
        <w:spacing w:line="600" w:lineRule="exact"/>
        <w:rPr>
          <w:rFonts w:ascii="华文中宋" w:hAnsi="华文中宋" w:eastAsia="华文中宋" w:cs="华文中宋"/>
          <w:b/>
          <w:bCs w:val="0"/>
          <w:color w:val="000000"/>
          <w:szCs w:val="52"/>
        </w:rPr>
      </w:pPr>
      <w:r>
        <w:rPr>
          <w:rFonts w:hint="eastAsia" w:ascii="Times New Roman" w:hAnsi="Times New Roman" w:cs="方正小标宋_GBK"/>
          <w:color w:val="000000"/>
          <w:sz w:val="44"/>
          <w:szCs w:val="44"/>
        </w:rPr>
        <w:t>2023</w:t>
      </w:r>
      <w:r>
        <w:rPr>
          <w:rFonts w:hint="eastAsia" w:ascii="宋体" w:hAnsi="宋体" w:eastAsia="宋体" w:cs="宋体"/>
          <w:color w:val="000000"/>
          <w:sz w:val="44"/>
          <w:szCs w:val="44"/>
        </w:rPr>
        <w:t>－</w:t>
      </w:r>
      <w:r>
        <w:rPr>
          <w:rFonts w:hint="eastAsia" w:ascii="Times New Roman" w:hAnsi="Times New Roman" w:cs="方正小标宋_GBK"/>
          <w:color w:val="000000"/>
          <w:sz w:val="44"/>
          <w:szCs w:val="44"/>
        </w:rPr>
        <w:t>2024学年第一学期工作计划要点</w:t>
      </w:r>
    </w:p>
    <w:p>
      <w:pPr>
        <w:spacing w:line="560" w:lineRule="exact"/>
        <w:ind w:firstLine="560" w:firstLineChars="200"/>
        <w:rPr>
          <w:rFonts w:ascii="Times New Roman" w:hAnsi="Times New Roman" w:eastAsia="仿宋" w:cs="仿宋_GB2312"/>
          <w:color w:val="000000"/>
          <w:sz w:val="28"/>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仿宋_GB2312"/>
          <w:color w:val="000000"/>
          <w:sz w:val="32"/>
          <w:szCs w:val="32"/>
        </w:rPr>
      </w:pPr>
      <w:r>
        <w:rPr>
          <w:rFonts w:hint="eastAsia" w:ascii="Times New Roman" w:hAnsi="Times New Roman" w:eastAsia="仿宋" w:cs="仿宋_GB2312"/>
          <w:color w:val="000000"/>
          <w:sz w:val="32"/>
          <w:szCs w:val="32"/>
        </w:rPr>
        <w:t>2023－2024学年第一学期，学院工作的总体思路是：以习近平新时代中国特色社会主义思想为指导，贯彻落实党的二十大精神和习近平总书记关于教育的重要论述，围绕立德树人根本任务，全面加强党的领导，以改革发展为导向，以推动转设为动力，</w:t>
      </w:r>
      <w:r>
        <w:rPr>
          <w:rFonts w:hint="eastAsia" w:ascii="Times New Roman" w:hAnsi="Times New Roman" w:eastAsia="仿宋" w:cs="仿宋_GB2312"/>
          <w:color w:val="000000"/>
          <w:sz w:val="32"/>
          <w:szCs w:val="32"/>
          <w:lang w:val="en-US" w:eastAsia="zh-CN"/>
        </w:rPr>
        <w:t>以学生和青年教师“双培养、双提升”为主线，</w:t>
      </w:r>
      <w:r>
        <w:rPr>
          <w:rFonts w:hint="eastAsia" w:ascii="Times New Roman" w:hAnsi="Times New Roman" w:eastAsia="仿宋" w:cs="仿宋_GB2312"/>
          <w:color w:val="000000"/>
          <w:sz w:val="32"/>
          <w:szCs w:val="32"/>
        </w:rPr>
        <w:t>以办出特色和水平为目标，凝心聚力、踔厉奋发，推动学院各项事业持续高质量发展，为奋力开拓教育强国建设新局面作出贡献。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一、坚持把党的政治建设摆在首位，加强党的全面领导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
          <w:color w:val="000000"/>
          <w:sz w:val="32"/>
          <w:szCs w:val="32"/>
        </w:rPr>
      </w:pPr>
      <w:r>
        <w:rPr>
          <w:rFonts w:hint="eastAsia" w:ascii="Times New Roman" w:hAnsi="Times New Roman" w:eastAsia="仿宋" w:cs="仿宋_GB2312"/>
          <w:b/>
          <w:color w:val="000000"/>
          <w:sz w:val="32"/>
          <w:szCs w:val="32"/>
        </w:rPr>
        <w:t>1.突出加强党的政治建设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_GB2312"/>
          <w:color w:val="000000"/>
          <w:sz w:val="32"/>
          <w:szCs w:val="32"/>
        </w:rPr>
      </w:pPr>
      <w:r>
        <w:rPr>
          <w:rFonts w:hint="eastAsia" w:ascii="Times New Roman" w:hAnsi="Times New Roman" w:eastAsia="仿宋" w:cs="仿宋_GB2312"/>
          <w:b/>
          <w:bCs/>
          <w:color w:val="000000"/>
          <w:sz w:val="32"/>
          <w:szCs w:val="32"/>
        </w:rPr>
        <w:t>目标任务：</w:t>
      </w:r>
      <w:r>
        <w:rPr>
          <w:rFonts w:hint="eastAsia" w:ascii="Times New Roman" w:hAnsi="Times New Roman" w:eastAsia="仿宋" w:cs="仿宋_GB2312"/>
          <w:color w:val="000000"/>
          <w:sz w:val="32"/>
          <w:szCs w:val="32"/>
        </w:rPr>
        <w:t>进一步增强推进党的政治建设的自觉性坚定性，把思想和行动统一到党中央部署要求上来，确保党的政治建设取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_GB2312"/>
          <w:color w:val="000000"/>
          <w:sz w:val="32"/>
          <w:szCs w:val="32"/>
        </w:rPr>
        <w:sectPr>
          <w:headerReference r:id="rId3" w:type="default"/>
          <w:pgSz w:w="11906" w:h="16838"/>
          <w:pgMar w:top="1814" w:right="1531" w:bottom="1531" w:left="153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仿宋_GB2312"/>
          <w:color w:val="000000"/>
          <w:sz w:val="32"/>
          <w:szCs w:val="32"/>
        </w:rPr>
      </w:pPr>
      <w:r>
        <w:rPr>
          <w:rFonts w:hint="eastAsia" w:ascii="Times New Roman" w:hAnsi="Times New Roman" w:eastAsia="仿宋" w:cs="仿宋_GB2312"/>
          <w:color w:val="000000"/>
          <w:sz w:val="32"/>
          <w:szCs w:val="32"/>
        </w:rPr>
        <w:t>得成效。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
          <w:color w:val="000000"/>
          <w:sz w:val="32"/>
          <w:szCs w:val="32"/>
        </w:rPr>
      </w:pPr>
      <w:r>
        <w:rPr>
          <w:rFonts w:hint="eastAsia" w:ascii="Times New Roman" w:hAnsi="Times New Roman" w:eastAsia="仿宋" w:cs="仿宋_GB2312"/>
          <w:b/>
          <w:color w:val="000000"/>
          <w:sz w:val="32"/>
          <w:szCs w:val="32"/>
        </w:rPr>
        <w:t>工作措施：</w:t>
      </w:r>
      <w:r>
        <w:rPr>
          <w:rFonts w:hint="eastAsia" w:ascii="Times New Roman" w:hAnsi="Times New Roman" w:eastAsia="仿宋" w:cs="仿宋_GB2312"/>
          <w:bCs/>
          <w:color w:val="000000"/>
          <w:sz w:val="32"/>
          <w:szCs w:val="32"/>
        </w:rPr>
        <w:t>坚持以习近平新时代中国特色社会主义思想为指导，全面学习宣传贯彻党的二十大精神，准确、系统</w:t>
      </w:r>
      <w:r>
        <w:rPr>
          <w:rFonts w:hint="eastAsia" w:ascii="Times New Roman" w:hAnsi="Times New Roman" w:eastAsia="仿宋" w:cs="仿宋_GB2312"/>
          <w:bCs/>
          <w:color w:val="000000"/>
          <w:sz w:val="32"/>
          <w:szCs w:val="32"/>
          <w:lang w:eastAsia="zh-CN"/>
        </w:rPr>
        <w:t>、</w:t>
      </w:r>
      <w:r>
        <w:rPr>
          <w:rFonts w:hint="eastAsia" w:ascii="Times New Roman" w:hAnsi="Times New Roman" w:eastAsia="仿宋" w:cs="仿宋_GB2312"/>
          <w:bCs/>
          <w:color w:val="000000"/>
          <w:sz w:val="32"/>
          <w:szCs w:val="32"/>
        </w:rPr>
        <w:t>深入理解和把握习近平总书记</w:t>
      </w:r>
      <w:r>
        <w:rPr>
          <w:rFonts w:hint="eastAsia" w:ascii="Times New Roman" w:hAnsi="Times New Roman" w:eastAsia="仿宋" w:cs="仿宋_GB2312"/>
          <w:bCs/>
          <w:color w:val="000000"/>
          <w:sz w:val="32"/>
          <w:szCs w:val="32"/>
          <w:lang w:val="en-US" w:eastAsia="zh-CN"/>
        </w:rPr>
        <w:t>关于教育的重要论述</w:t>
      </w:r>
      <w:r>
        <w:rPr>
          <w:rFonts w:hint="eastAsia" w:ascii="Times New Roman" w:hAnsi="Times New Roman" w:eastAsia="仿宋" w:cs="仿宋_GB2312"/>
          <w:bCs/>
          <w:color w:val="000000"/>
          <w:sz w:val="32"/>
          <w:szCs w:val="32"/>
        </w:rPr>
        <w:t>的丰富内涵和精神实质，深刻领悟“两个确立”的决定性意义，增强“四个意识”、坚定“四个自信”、</w:t>
      </w:r>
      <w:r>
        <w:rPr>
          <w:rFonts w:hint="eastAsia" w:ascii="Times New Roman" w:hAnsi="Times New Roman" w:eastAsia="仿宋" w:cs="仿宋_GB2312"/>
          <w:bCs/>
          <w:color w:val="000000"/>
          <w:sz w:val="32"/>
          <w:szCs w:val="32"/>
          <w:lang w:val="en-US" w:eastAsia="zh-CN"/>
        </w:rPr>
        <w:t>坚决</w:t>
      </w:r>
      <w:r>
        <w:rPr>
          <w:rFonts w:hint="eastAsia" w:ascii="Times New Roman" w:hAnsi="Times New Roman" w:eastAsia="仿宋" w:cs="仿宋_GB2312"/>
          <w:bCs/>
          <w:color w:val="000000"/>
          <w:sz w:val="32"/>
          <w:szCs w:val="32"/>
        </w:rPr>
        <w:t>做到“两个维护”，把思想和行动统一到习近平总书记重要讲话精神上来。巩固学习贯彻习近平新时代中国特色社会主义思想主题教育成效，抓好主题教育专题民主生活会整改落实。</w:t>
      </w:r>
      <w:r>
        <w:rPr>
          <w:rFonts w:hint="eastAsia" w:ascii="Times New Roman" w:hAnsi="Times New Roman" w:eastAsia="仿宋" w:cs="仿宋_GB2312"/>
          <w:color w:val="000000"/>
          <w:sz w:val="32"/>
          <w:szCs w:val="32"/>
        </w:rPr>
        <w:t>分党校继续开展</w:t>
      </w:r>
      <w:r>
        <w:rPr>
          <w:rFonts w:hint="eastAsia" w:ascii="Times New Roman" w:hAnsi="Times New Roman" w:eastAsia="仿宋" w:cs="仿宋_GB2312"/>
          <w:color w:val="000000"/>
          <w:sz w:val="32"/>
          <w:szCs w:val="32"/>
          <w:lang w:val="en-US" w:eastAsia="zh-CN"/>
        </w:rPr>
        <w:t>各类</w:t>
      </w:r>
      <w:r>
        <w:rPr>
          <w:rFonts w:hint="eastAsia" w:ascii="Times New Roman" w:hAnsi="Times New Roman" w:eastAsia="仿宋" w:cs="仿宋_GB2312"/>
          <w:color w:val="000000"/>
          <w:sz w:val="32"/>
          <w:szCs w:val="32"/>
        </w:rPr>
        <w:t>教育培训，各党支部抓好每周四党员活动日和教职工集体政治学习，落实好“三会一课”制度。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
          <w:color w:val="00000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s="仿宋_GB2312"/>
          <w:color w:val="000000"/>
          <w:sz w:val="32"/>
          <w:szCs w:val="32"/>
        </w:rPr>
        <w:t>党委党群工作部、分党校、各基层党组织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
          <w:bCs/>
          <w:color w:val="000000"/>
          <w:kern w:val="0"/>
          <w:sz w:val="32"/>
          <w:szCs w:val="32"/>
        </w:rPr>
      </w:pPr>
      <w:r>
        <w:rPr>
          <w:rFonts w:hint="eastAsia" w:ascii="Times New Roman" w:hAnsi="Times New Roman" w:eastAsia="仿宋" w:cs="仿宋_GB2312"/>
          <w:b/>
          <w:bCs/>
          <w:color w:val="000000"/>
          <w:kern w:val="0"/>
          <w:sz w:val="32"/>
          <w:szCs w:val="32"/>
        </w:rPr>
        <w:t>2.继续抓好基层党组织建设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color w:val="000000"/>
          <w:sz w:val="32"/>
          <w:szCs w:val="32"/>
        </w:rPr>
      </w:pPr>
      <w:r>
        <w:rPr>
          <w:rFonts w:hint="eastAsia" w:ascii="Times New Roman" w:hAnsi="Times New Roman" w:eastAsia="仿宋" w:cs="仿宋_GB2312"/>
          <w:b/>
          <w:bCs/>
          <w:color w:val="000000"/>
          <w:sz w:val="32"/>
          <w:szCs w:val="32"/>
        </w:rPr>
        <w:t>目标任务：</w:t>
      </w:r>
      <w:r>
        <w:rPr>
          <w:rFonts w:hint="eastAsia" w:ascii="Times New Roman" w:hAnsi="Times New Roman" w:eastAsia="仿宋" w:cs="仿宋_GB2312"/>
          <w:color w:val="000000"/>
          <w:sz w:val="32"/>
          <w:szCs w:val="32"/>
        </w:rPr>
        <w:t>坚持与时俱进，增强基层组织服务功能</w:t>
      </w:r>
      <w:r>
        <w:rPr>
          <w:rFonts w:hint="eastAsia" w:ascii="Times New Roman" w:hAnsi="Times New Roman" w:eastAsia="仿宋" w:cs="仿宋_GB2312"/>
          <w:color w:val="000000"/>
          <w:sz w:val="32"/>
          <w:szCs w:val="32"/>
          <w:lang w:eastAsia="zh-CN"/>
        </w:rPr>
        <w:t>、</w:t>
      </w:r>
      <w:r>
        <w:rPr>
          <w:rFonts w:hint="eastAsia" w:ascii="Times New Roman" w:hAnsi="Times New Roman" w:eastAsia="仿宋" w:cs="仿宋_GB2312"/>
          <w:color w:val="000000"/>
          <w:sz w:val="32"/>
          <w:szCs w:val="32"/>
        </w:rPr>
        <w:t>政治功能和组织力，推动基层党建工作更上一层楼。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color w:val="000000"/>
          <w:sz w:val="32"/>
          <w:szCs w:val="32"/>
        </w:rPr>
      </w:pPr>
      <w:r>
        <w:rPr>
          <w:rFonts w:hint="eastAsia" w:ascii="Times New Roman" w:hAnsi="Times New Roman" w:eastAsia="仿宋" w:cs="仿宋_GB2312"/>
          <w:b/>
          <w:bCs/>
          <w:color w:val="000000"/>
          <w:sz w:val="32"/>
          <w:szCs w:val="32"/>
        </w:rPr>
        <w:t>工作措施：</w:t>
      </w:r>
      <w:r>
        <w:rPr>
          <w:rFonts w:hint="eastAsia" w:ascii="Times New Roman" w:hAnsi="Times New Roman" w:eastAsia="仿宋" w:cs="仿宋_GB2312"/>
          <w:color w:val="000000"/>
          <w:sz w:val="32"/>
          <w:szCs w:val="32"/>
        </w:rPr>
        <w:t>以提升组织力为重点，突出政治功能，持续开展党建质量提升工程。持续加强党支部标准化建设，使提高基层党组织建设质量的各项任务可操作、可落实、可检验。积极</w:t>
      </w:r>
      <w:r>
        <w:rPr>
          <w:rFonts w:hint="eastAsia" w:ascii="Times New Roman" w:hAnsi="Times New Roman" w:eastAsia="仿宋" w:cs="仿宋_GB2312"/>
          <w:color w:val="000000"/>
          <w:sz w:val="32"/>
          <w:szCs w:val="32"/>
          <w:lang w:val="en-US" w:eastAsia="zh-CN"/>
        </w:rPr>
        <w:t>落实</w:t>
      </w:r>
      <w:r>
        <w:rPr>
          <w:rFonts w:hint="eastAsia" w:ascii="Times New Roman" w:hAnsi="Times New Roman" w:eastAsia="仿宋" w:cs="仿宋_GB2312"/>
          <w:color w:val="000000"/>
          <w:sz w:val="32"/>
          <w:szCs w:val="32"/>
        </w:rPr>
        <w:t>党建“双创”工作</w:t>
      </w:r>
      <w:r>
        <w:rPr>
          <w:rFonts w:hint="eastAsia" w:ascii="Times New Roman" w:hAnsi="Times New Roman" w:eastAsia="仿宋" w:cs="仿宋_GB2312"/>
          <w:color w:val="000000"/>
          <w:sz w:val="32"/>
          <w:szCs w:val="32"/>
          <w:lang w:val="en-US" w:eastAsia="zh-CN"/>
        </w:rPr>
        <w:t>要求</w:t>
      </w:r>
      <w:r>
        <w:rPr>
          <w:rFonts w:hint="eastAsia" w:ascii="Times New Roman" w:hAnsi="Times New Roman" w:eastAsia="仿宋" w:cs="仿宋_GB2312"/>
          <w:color w:val="000000"/>
          <w:sz w:val="32"/>
          <w:szCs w:val="32"/>
          <w:lang w:eastAsia="zh-CN"/>
        </w:rPr>
        <w:t>，</w:t>
      </w:r>
      <w:r>
        <w:rPr>
          <w:rFonts w:hint="eastAsia" w:ascii="Times New Roman" w:hAnsi="Times New Roman" w:eastAsia="仿宋" w:cs="仿宋_GB2312"/>
          <w:color w:val="000000"/>
          <w:sz w:val="32"/>
          <w:szCs w:val="32"/>
        </w:rPr>
        <w:t>推进“对标争先”工作。</w:t>
      </w:r>
      <w:r>
        <w:rPr>
          <w:rFonts w:hint="eastAsia" w:ascii="Times New Roman" w:hAnsi="Times New Roman" w:eastAsia="仿宋" w:cs="仿宋_GB2312"/>
          <w:color w:val="000000"/>
          <w:sz w:val="32"/>
          <w:szCs w:val="32"/>
          <w:lang w:val="en-US" w:eastAsia="zh-CN"/>
        </w:rPr>
        <w:t>强化入党动机教育，</w:t>
      </w:r>
      <w:r>
        <w:rPr>
          <w:rFonts w:hint="eastAsia" w:ascii="Times New Roman" w:hAnsi="Times New Roman" w:eastAsia="仿宋" w:cs="仿宋_GB2312"/>
          <w:color w:val="000000"/>
          <w:sz w:val="32"/>
          <w:szCs w:val="32"/>
        </w:rPr>
        <w:t>把好党员发展质量关、政治关</w:t>
      </w:r>
      <w:r>
        <w:rPr>
          <w:rFonts w:hint="eastAsia" w:ascii="Times New Roman" w:hAnsi="Times New Roman" w:eastAsia="仿宋" w:cs="仿宋_GB2312"/>
          <w:bCs/>
          <w:color w:val="000000"/>
          <w:kern w:val="0"/>
          <w:sz w:val="32"/>
          <w:szCs w:val="32"/>
        </w:rPr>
        <w:t>，提升党员教育管理服务水平。充分发挥基层党组织作用，紧密联系服务师生，在服务师生中更好地组织师生、团结师生、引导师生、凝聚师生。</w:t>
      </w:r>
      <w:r>
        <w:rPr>
          <w:rFonts w:hint="eastAsia" w:ascii="Times New Roman" w:hAnsi="Times New Roman" w:eastAsia="仿宋" w:cs="仿宋_GB2312"/>
          <w:color w:val="000000"/>
          <w:sz w:val="32"/>
          <w:szCs w:val="32"/>
        </w:rPr>
        <w:t>开展2023年度党支部书记抓党建述职评议考核工作，加强考核结果运用。做好主题教育专题组织生活会、年度民主评议党员有关工作。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color w:val="00000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s="仿宋_GB2312"/>
          <w:color w:val="000000"/>
          <w:sz w:val="32"/>
          <w:szCs w:val="32"/>
        </w:rPr>
        <w:t>党委党群工作部、各基层党组织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
          <w:bCs/>
          <w:color w:val="000000"/>
          <w:kern w:val="0"/>
          <w:sz w:val="32"/>
          <w:szCs w:val="32"/>
        </w:rPr>
      </w:pPr>
      <w:r>
        <w:rPr>
          <w:rFonts w:hint="eastAsia" w:ascii="Times New Roman" w:hAnsi="Times New Roman" w:eastAsia="仿宋" w:cs="仿宋_GB2312"/>
          <w:b/>
          <w:bCs/>
          <w:color w:val="000000"/>
          <w:kern w:val="0"/>
          <w:sz w:val="32"/>
          <w:szCs w:val="32"/>
        </w:rPr>
        <w:t>3.切实维护意识形态安全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cs="仿宋_GB2312"/>
          <w:b/>
          <w:bCs/>
          <w:color w:val="000000"/>
          <w:kern w:val="0"/>
          <w:sz w:val="32"/>
          <w:szCs w:val="32"/>
        </w:rPr>
        <w:t>目标任务：</w:t>
      </w:r>
      <w:r>
        <w:rPr>
          <w:rFonts w:hint="eastAsia" w:ascii="Times New Roman" w:hAnsi="Times New Roman" w:eastAsia="仿宋" w:cs="仿宋_GB2312"/>
          <w:bCs/>
          <w:color w:val="000000"/>
          <w:kern w:val="0"/>
          <w:sz w:val="32"/>
          <w:szCs w:val="32"/>
        </w:rPr>
        <w:t>加强党对意识形态工作的全面领导，压紧压实意识形态工作责任，高质量做好新时代意识形态工作。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cs="仿宋_GB2312"/>
          <w:b/>
          <w:color w:val="000000"/>
          <w:kern w:val="0"/>
          <w:sz w:val="32"/>
          <w:szCs w:val="32"/>
        </w:rPr>
        <w:t>工作措施：</w:t>
      </w:r>
      <w:r>
        <w:rPr>
          <w:rFonts w:hint="eastAsia" w:ascii="Times New Roman" w:hAnsi="Times New Roman" w:eastAsia="仿宋" w:cs="仿宋_GB2312"/>
          <w:bCs/>
          <w:color w:val="000000"/>
          <w:kern w:val="0"/>
          <w:sz w:val="32"/>
          <w:szCs w:val="32"/>
        </w:rPr>
        <w:t>落实《关于加快构建高校思想政治工作体系的意见》。筑牢主流意识形态安全屏障，做好新闻宣传和舆论引导，提升新闻舆论工作能力和成效</w:t>
      </w:r>
      <w:r>
        <w:rPr>
          <w:rFonts w:hint="eastAsia" w:ascii="Times New Roman" w:hAnsi="Times New Roman" w:eastAsia="仿宋" w:cs="仿宋_GB2312"/>
          <w:bCs/>
          <w:color w:val="000000"/>
          <w:kern w:val="0"/>
          <w:sz w:val="32"/>
          <w:szCs w:val="32"/>
          <w:lang w:eastAsia="zh-CN"/>
        </w:rPr>
        <w:t>。围绕党的二十大、</w:t>
      </w:r>
      <w:r>
        <w:rPr>
          <w:rFonts w:hint="eastAsia" w:ascii="Times New Roman" w:hAnsi="Times New Roman" w:eastAsia="仿宋" w:cs="仿宋_GB2312"/>
          <w:bCs/>
          <w:color w:val="000000"/>
          <w:kern w:val="0"/>
          <w:sz w:val="32"/>
          <w:szCs w:val="32"/>
          <w:lang w:val="en-US" w:eastAsia="zh-CN"/>
        </w:rPr>
        <w:t>人才培养成果等核心关键词，</w:t>
      </w:r>
      <w:r>
        <w:rPr>
          <w:rFonts w:hint="eastAsia" w:ascii="Times New Roman" w:hAnsi="Times New Roman" w:eastAsia="仿宋" w:cs="仿宋_GB2312"/>
          <w:bCs/>
          <w:color w:val="000000"/>
          <w:kern w:val="0"/>
          <w:sz w:val="32"/>
          <w:szCs w:val="32"/>
        </w:rPr>
        <w:t>加大</w:t>
      </w:r>
      <w:r>
        <w:rPr>
          <w:rFonts w:hint="eastAsia" w:ascii="Times New Roman" w:hAnsi="Times New Roman" w:eastAsia="仿宋" w:cs="仿宋_GB2312"/>
          <w:bCs/>
          <w:color w:val="000000"/>
          <w:kern w:val="0"/>
          <w:sz w:val="32"/>
          <w:szCs w:val="32"/>
          <w:lang w:val="en-US" w:eastAsia="zh-CN"/>
        </w:rPr>
        <w:t>高质量</w:t>
      </w:r>
      <w:r>
        <w:rPr>
          <w:rFonts w:hint="eastAsia" w:ascii="Times New Roman" w:hAnsi="Times New Roman" w:eastAsia="仿宋" w:cs="仿宋_GB2312"/>
          <w:bCs/>
          <w:color w:val="000000"/>
          <w:kern w:val="0"/>
          <w:sz w:val="32"/>
          <w:szCs w:val="32"/>
        </w:rPr>
        <w:t>宣传力度，多方面、多渠道扩大宣传，提高学院影响力。积极探索做好网络时代宣传思想工作的方式方法</w:t>
      </w:r>
      <w:r>
        <w:rPr>
          <w:rFonts w:hint="eastAsia" w:ascii="Times New Roman" w:hAnsi="Times New Roman" w:eastAsia="仿宋" w:cs="仿宋_GB2312"/>
          <w:bCs/>
          <w:color w:val="000000"/>
          <w:kern w:val="0"/>
          <w:sz w:val="32"/>
          <w:szCs w:val="32"/>
          <w:lang w:eastAsia="zh-CN"/>
        </w:rPr>
        <w:t>，</w:t>
      </w:r>
      <w:r>
        <w:rPr>
          <w:rFonts w:hint="eastAsia" w:ascii="Times New Roman" w:hAnsi="Times New Roman" w:eastAsia="仿宋" w:cs="仿宋_GB2312"/>
          <w:bCs/>
          <w:color w:val="000000"/>
          <w:kern w:val="0"/>
          <w:sz w:val="32"/>
          <w:szCs w:val="32"/>
          <w:lang w:val="en-US" w:eastAsia="zh-CN"/>
        </w:rPr>
        <w:t>认真</w:t>
      </w:r>
      <w:r>
        <w:rPr>
          <w:rFonts w:hint="eastAsia" w:ascii="Times New Roman" w:hAnsi="Times New Roman" w:eastAsia="仿宋" w:cs="仿宋_GB2312"/>
          <w:bCs/>
          <w:color w:val="000000"/>
          <w:kern w:val="0"/>
          <w:sz w:val="32"/>
          <w:szCs w:val="32"/>
        </w:rPr>
        <w:t>做好网络安全工作和网络思政工作。强化意识形态工作责任制落实，坚持定期分析研判，不断完善风险预警、分析研判、阵地管理、应急处置等工作机制</w:t>
      </w:r>
      <w:r>
        <w:rPr>
          <w:rFonts w:hint="eastAsia" w:ascii="Times New Roman" w:hAnsi="Times New Roman" w:eastAsia="仿宋" w:cs="仿宋_GB2312"/>
          <w:bCs/>
          <w:color w:val="000000"/>
          <w:kern w:val="0"/>
          <w:sz w:val="32"/>
          <w:szCs w:val="32"/>
          <w:lang w:eastAsia="zh-CN"/>
        </w:rPr>
        <w:t>，做好师生思想引导工作</w:t>
      </w:r>
      <w:r>
        <w:rPr>
          <w:rFonts w:hint="eastAsia" w:ascii="Times New Roman" w:hAnsi="Times New Roman" w:eastAsia="仿宋" w:cs="仿宋_GB2312"/>
          <w:bCs/>
          <w:color w:val="000000"/>
          <w:kern w:val="0"/>
          <w:sz w:val="32"/>
          <w:szCs w:val="32"/>
        </w:rPr>
        <w:t>。加强意识形态工作队伍建设，落实意识形态监督工作制度。抓实抓细统战工作和民族宗教工作。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s="仿宋_GB2312"/>
          <w:color w:val="000000"/>
          <w:sz w:val="32"/>
          <w:szCs w:val="32"/>
        </w:rPr>
        <w:t>党委党群工作部、</w:t>
      </w:r>
      <w:r>
        <w:rPr>
          <w:rFonts w:hint="eastAsia" w:ascii="Times New Roman" w:hAnsi="Times New Roman" w:eastAsia="仿宋" w:cs="仿宋_GB2312"/>
          <w:color w:val="000000"/>
          <w:sz w:val="32"/>
          <w:szCs w:val="32"/>
          <w:lang w:val="en-US" w:eastAsia="zh-CN"/>
        </w:rPr>
        <w:t>党委学生工作部、党委教师工作部、</w:t>
      </w:r>
      <w:r>
        <w:rPr>
          <w:rFonts w:hint="eastAsia" w:ascii="Times New Roman" w:hAnsi="Times New Roman" w:eastAsia="仿宋" w:cs="仿宋_GB2312"/>
          <w:color w:val="000000"/>
          <w:sz w:val="32"/>
          <w:szCs w:val="32"/>
        </w:rPr>
        <w:t>教务处、计算机管理中心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
          <w:bCs/>
          <w:color w:val="000000"/>
          <w:kern w:val="0"/>
          <w:sz w:val="32"/>
          <w:szCs w:val="32"/>
        </w:rPr>
      </w:pPr>
      <w:r>
        <w:rPr>
          <w:rFonts w:hint="eastAsia" w:ascii="Times New Roman" w:hAnsi="Times New Roman" w:eastAsia="仿宋" w:cs="仿宋_GB2312"/>
          <w:b/>
          <w:bCs/>
          <w:color w:val="000000"/>
          <w:kern w:val="0"/>
          <w:sz w:val="32"/>
          <w:szCs w:val="32"/>
        </w:rPr>
        <w:t>4.切实履行全面从严治党主体责任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cs="仿宋_GB2312"/>
          <w:b/>
          <w:bCs/>
          <w:color w:val="000000"/>
          <w:sz w:val="32"/>
          <w:szCs w:val="32"/>
        </w:rPr>
        <w:t>目标任务：</w:t>
      </w:r>
      <w:r>
        <w:rPr>
          <w:rFonts w:hint="eastAsia" w:ascii="Times New Roman" w:hAnsi="Times New Roman" w:eastAsia="仿宋" w:cs="仿宋_GB2312"/>
          <w:bCs/>
          <w:color w:val="000000"/>
          <w:kern w:val="0"/>
          <w:sz w:val="32"/>
          <w:szCs w:val="32"/>
        </w:rPr>
        <w:t>落实全面从严治党责任制，强化纪律建设，持之以恒</w:t>
      </w:r>
      <w:r>
        <w:rPr>
          <w:rFonts w:hint="eastAsia" w:ascii="Times New Roman" w:hAnsi="Times New Roman" w:eastAsia="仿宋" w:cs="仿宋_GB2312"/>
          <w:bCs/>
          <w:color w:val="000000"/>
          <w:kern w:val="0"/>
          <w:sz w:val="32"/>
          <w:szCs w:val="32"/>
          <w:lang w:val="en-US" w:eastAsia="zh-CN"/>
        </w:rPr>
        <w:t>加强党风廉政建设</w:t>
      </w:r>
      <w:r>
        <w:rPr>
          <w:rFonts w:hint="eastAsia" w:ascii="Times New Roman" w:hAnsi="Times New Roman" w:eastAsia="仿宋" w:cs="仿宋_GB2312"/>
          <w:bCs/>
          <w:color w:val="000000"/>
          <w:kern w:val="0"/>
          <w:sz w:val="32"/>
          <w:szCs w:val="32"/>
        </w:rPr>
        <w:t>，持续深化纠治“四风”。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cs="仿宋_GB2312"/>
          <w:b/>
          <w:bCs/>
          <w:color w:val="000000"/>
          <w:sz w:val="32"/>
          <w:szCs w:val="32"/>
        </w:rPr>
        <w:t>工作措施：</w:t>
      </w:r>
      <w:r>
        <w:rPr>
          <w:rFonts w:hint="eastAsia" w:ascii="Times New Roman" w:hAnsi="Times New Roman" w:eastAsia="仿宋" w:cs="仿宋_GB2312"/>
          <w:bCs/>
          <w:color w:val="000000"/>
          <w:kern w:val="0"/>
          <w:sz w:val="32"/>
          <w:szCs w:val="32"/>
        </w:rPr>
        <w:t>加强对党员干部和教职工的廉洁自律教育、法纪教育，推进作风建设常态化长效化，锲而不舍落实中央八项规定精神</w:t>
      </w:r>
      <w:r>
        <w:rPr>
          <w:rFonts w:hint="eastAsia" w:ascii="Times New Roman" w:hAnsi="Times New Roman" w:eastAsia="仿宋" w:cs="仿宋_GB2312"/>
          <w:bCs/>
          <w:color w:val="000000"/>
          <w:kern w:val="0"/>
          <w:sz w:val="32"/>
          <w:szCs w:val="32"/>
          <w:lang w:eastAsia="zh-CN"/>
        </w:rPr>
        <w:t>，</w:t>
      </w:r>
      <w:r>
        <w:rPr>
          <w:rFonts w:hint="eastAsia" w:ascii="Times New Roman" w:hAnsi="Times New Roman" w:eastAsia="仿宋" w:cs="仿宋_GB2312"/>
          <w:bCs/>
          <w:color w:val="000000"/>
          <w:kern w:val="0"/>
          <w:sz w:val="32"/>
          <w:szCs w:val="32"/>
        </w:rPr>
        <w:t>持续深化纠治“四风”，重点纠治形式主义和官僚主义。抓住“关键少数”以上率下，增强对“一把手”和领导班子监督实效。在教育引导党员干部严守党的政治纪律和政治规矩，严格落实廉洁自律各项规定的基础上，</w:t>
      </w:r>
      <w:r>
        <w:rPr>
          <w:rFonts w:hint="eastAsia" w:ascii="Times New Roman" w:hAnsi="Times New Roman" w:eastAsia="仿宋" w:cs="仿宋_GB2312"/>
          <w:bCs/>
          <w:color w:val="000000"/>
          <w:kern w:val="0"/>
          <w:sz w:val="32"/>
          <w:szCs w:val="32"/>
          <w:lang w:val="en-US" w:eastAsia="zh-CN"/>
        </w:rPr>
        <w:t>提升</w:t>
      </w:r>
      <w:r>
        <w:rPr>
          <w:rFonts w:hint="eastAsia" w:ascii="Times New Roman" w:hAnsi="Times New Roman" w:eastAsia="仿宋" w:cs="仿宋_GB2312"/>
          <w:bCs/>
          <w:color w:val="000000"/>
          <w:kern w:val="0"/>
          <w:sz w:val="32"/>
          <w:szCs w:val="32"/>
        </w:rPr>
        <w:t>开展廉政谈话、廉政提醒</w:t>
      </w:r>
      <w:r>
        <w:rPr>
          <w:rFonts w:hint="eastAsia" w:ascii="Times New Roman" w:hAnsi="Times New Roman" w:eastAsia="仿宋" w:cs="仿宋_GB2312"/>
          <w:bCs/>
          <w:color w:val="000000"/>
          <w:kern w:val="0"/>
          <w:sz w:val="32"/>
          <w:szCs w:val="32"/>
          <w:lang w:val="en-US" w:eastAsia="zh-CN"/>
        </w:rPr>
        <w:t>的频率和效果</w:t>
      </w:r>
      <w:r>
        <w:rPr>
          <w:rFonts w:hint="eastAsia" w:ascii="Times New Roman" w:hAnsi="Times New Roman" w:eastAsia="仿宋" w:cs="仿宋_GB2312"/>
          <w:bCs/>
          <w:color w:val="000000"/>
          <w:kern w:val="0"/>
          <w:sz w:val="32"/>
          <w:szCs w:val="32"/>
        </w:rPr>
        <w:t>。继续发挥好监察委员会作用，开展常态化、常规性工作纪律和工作作风监督检查。开好2023年度党风廉政建设分析会</w:t>
      </w:r>
      <w:r>
        <w:rPr>
          <w:rFonts w:hint="eastAsia" w:ascii="Times New Roman" w:hAnsi="Times New Roman" w:eastAsia="仿宋" w:cs="仿宋_GB2312"/>
          <w:bCs/>
          <w:color w:val="000000"/>
          <w:kern w:val="0"/>
          <w:sz w:val="32"/>
          <w:szCs w:val="32"/>
          <w:lang w:eastAsia="zh-CN"/>
        </w:rPr>
        <w:t>，</w:t>
      </w:r>
      <w:r>
        <w:rPr>
          <w:rFonts w:hint="eastAsia" w:ascii="Times New Roman" w:hAnsi="Times New Roman" w:eastAsia="仿宋" w:cs="仿宋_GB2312"/>
          <w:bCs/>
          <w:color w:val="000000"/>
          <w:kern w:val="0"/>
          <w:sz w:val="32"/>
          <w:szCs w:val="32"/>
          <w:lang w:val="en-US" w:eastAsia="zh-CN"/>
        </w:rPr>
        <w:t>强化整改落实</w:t>
      </w:r>
      <w:r>
        <w:rPr>
          <w:rFonts w:hint="eastAsia" w:ascii="Times New Roman" w:hAnsi="Times New Roman" w:eastAsia="仿宋" w:cs="仿宋_GB2312"/>
          <w:bCs/>
          <w:color w:val="000000"/>
          <w:kern w:val="0"/>
          <w:sz w:val="32"/>
          <w:szCs w:val="32"/>
        </w:rPr>
        <w:t>。加强廉政宣传教育，坚决惩治师生身边微腐败。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color w:val="00000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s="仿宋_GB2312"/>
          <w:color w:val="000000"/>
          <w:sz w:val="32"/>
          <w:szCs w:val="32"/>
        </w:rPr>
        <w:t>党委党群工作部、监察委员会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
          <w:bCs/>
          <w:color w:val="000000"/>
          <w:kern w:val="0"/>
          <w:sz w:val="32"/>
          <w:szCs w:val="32"/>
        </w:rPr>
      </w:pPr>
      <w:r>
        <w:rPr>
          <w:rFonts w:hint="eastAsia" w:ascii="Times New Roman" w:hAnsi="Times New Roman" w:eastAsia="仿宋" w:cs="仿宋_GB2312"/>
          <w:b/>
          <w:bCs/>
          <w:color w:val="000000"/>
          <w:kern w:val="0"/>
          <w:sz w:val="32"/>
          <w:szCs w:val="32"/>
        </w:rPr>
        <w:t>5.凝聚群团力量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cs="仿宋_GB2312"/>
          <w:b/>
          <w:bCs/>
          <w:color w:val="000000"/>
          <w:sz w:val="32"/>
          <w:szCs w:val="32"/>
        </w:rPr>
        <w:t>目标任务：</w:t>
      </w:r>
      <w:r>
        <w:rPr>
          <w:rFonts w:hint="eastAsia" w:ascii="Times New Roman" w:hAnsi="Times New Roman" w:eastAsia="仿宋" w:cs="仿宋_GB2312"/>
          <w:bCs/>
          <w:color w:val="000000"/>
          <w:kern w:val="0"/>
          <w:sz w:val="32"/>
          <w:szCs w:val="32"/>
        </w:rPr>
        <w:t>推进民主管理，做好群团工作，汇聚推动发展的合力。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cs="仿宋_GB2312"/>
          <w:b/>
          <w:bCs/>
          <w:color w:val="000000"/>
          <w:sz w:val="32"/>
          <w:szCs w:val="32"/>
        </w:rPr>
        <w:t>工作措施：</w:t>
      </w:r>
      <w:r>
        <w:rPr>
          <w:rFonts w:hint="eastAsia" w:ascii="Times New Roman" w:hAnsi="Times New Roman" w:eastAsia="仿宋" w:cs="仿宋_GB2312"/>
          <w:bCs/>
          <w:color w:val="000000"/>
          <w:kern w:val="0"/>
          <w:sz w:val="32"/>
          <w:szCs w:val="32"/>
        </w:rPr>
        <w:t>继续发挥工会职能，开展教职工喜闻乐见的工会文体活动，团结、凝聚教职工。适时召开学院第五届教职工代表大会暨第四届工会会员代表大会第一次会议</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将代表提案落到实处</w:t>
      </w:r>
      <w:r>
        <w:rPr>
          <w:rFonts w:hint="eastAsia" w:ascii="Times New Roman" w:hAnsi="Times New Roman" w:eastAsia="仿宋" w:cs="仿宋_GB2312"/>
          <w:bCs/>
          <w:color w:val="000000"/>
          <w:kern w:val="0"/>
          <w:sz w:val="32"/>
          <w:szCs w:val="32"/>
        </w:rPr>
        <w:t>。坚持不懈用</w:t>
      </w:r>
      <w:r>
        <w:rPr>
          <w:rFonts w:hint="eastAsia" w:ascii="Times New Roman" w:hAnsi="Times New Roman" w:eastAsia="仿宋" w:cs="仿宋_GB2312"/>
          <w:bCs/>
          <w:color w:val="000000"/>
          <w:kern w:val="0"/>
          <w:sz w:val="32"/>
          <w:szCs w:val="32"/>
          <w:lang w:val="en-US" w:eastAsia="zh-CN"/>
        </w:rPr>
        <w:t>习近平</w:t>
      </w:r>
      <w:r>
        <w:rPr>
          <w:rFonts w:hint="eastAsia" w:ascii="Times New Roman" w:hAnsi="Times New Roman" w:eastAsia="仿宋" w:cs="仿宋_GB2312"/>
          <w:bCs/>
          <w:color w:val="000000"/>
          <w:kern w:val="0"/>
          <w:sz w:val="32"/>
          <w:szCs w:val="32"/>
        </w:rPr>
        <w:t>新时代中国特色社会主义思想铸魂育人，引导学生坚定理想信念，鼓励青年志愿者组织和学生社团发挥智力优势、专业优势，稳定持久地开展志愿服务。全方位落实《中国共产主义青年团支部工作条例》，推进从严治团，激发基层团组织的活力和凝聚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s="仿宋_GB2312"/>
          <w:bCs/>
          <w:color w:val="000000"/>
          <w:kern w:val="0"/>
          <w:sz w:val="32"/>
          <w:szCs w:val="32"/>
        </w:rPr>
        <w:t>工会、团委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二、围绕</w:t>
      </w:r>
      <w:r>
        <w:rPr>
          <w:rFonts w:hint="eastAsia" w:ascii="黑体" w:hAnsi="黑体" w:eastAsia="黑体" w:cs="黑体"/>
          <w:color w:val="000000"/>
          <w:sz w:val="32"/>
          <w:szCs w:val="32"/>
          <w:shd w:val="clear" w:color="auto" w:fill="FFFFFF"/>
          <w:lang w:eastAsia="zh-CN"/>
        </w:rPr>
        <w:t>“</w:t>
      </w:r>
      <w:r>
        <w:rPr>
          <w:rFonts w:hint="eastAsia" w:ascii="黑体" w:hAnsi="黑体" w:eastAsia="黑体" w:cs="黑体"/>
          <w:color w:val="000000"/>
          <w:sz w:val="32"/>
          <w:szCs w:val="32"/>
          <w:shd w:val="clear" w:color="auto" w:fill="FFFFFF"/>
          <w:lang w:val="en-US" w:eastAsia="zh-CN"/>
        </w:rPr>
        <w:t>双培养，双提升</w:t>
      </w:r>
      <w:r>
        <w:rPr>
          <w:rFonts w:hint="eastAsia" w:ascii="黑体" w:hAnsi="黑体" w:eastAsia="黑体" w:cs="黑体"/>
          <w:color w:val="000000"/>
          <w:sz w:val="32"/>
          <w:szCs w:val="32"/>
          <w:shd w:val="clear" w:color="auto" w:fill="FFFFFF"/>
          <w:lang w:eastAsia="zh-CN"/>
        </w:rPr>
        <w:t>”</w:t>
      </w:r>
      <w:r>
        <w:rPr>
          <w:rFonts w:hint="eastAsia" w:ascii="黑体" w:hAnsi="黑体" w:eastAsia="黑体" w:cs="黑体"/>
          <w:color w:val="000000"/>
          <w:sz w:val="32"/>
          <w:szCs w:val="32"/>
          <w:shd w:val="clear" w:color="auto" w:fill="FFFFFF"/>
        </w:rPr>
        <w:t>，努力实现教育教学高质量发展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color w:val="000000"/>
          <w:sz w:val="32"/>
          <w:szCs w:val="32"/>
        </w:rPr>
      </w:pPr>
      <w:r>
        <w:rPr>
          <w:rFonts w:hint="eastAsia" w:ascii="Times New Roman" w:hAnsi="Times New Roman" w:eastAsia="仿宋"/>
          <w:b/>
          <w:color w:val="000000"/>
          <w:sz w:val="32"/>
          <w:szCs w:val="32"/>
        </w:rPr>
        <w:t>6.继续深化专业与课程建设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olor w:val="000000"/>
          <w:sz w:val="32"/>
          <w:szCs w:val="32"/>
        </w:rPr>
      </w:pPr>
      <w:r>
        <w:rPr>
          <w:rFonts w:hint="eastAsia" w:ascii="Times New Roman" w:hAnsi="Times New Roman" w:eastAsia="仿宋" w:cs="仿宋_GB2312"/>
          <w:b/>
          <w:bCs/>
          <w:color w:val="000000"/>
          <w:sz w:val="32"/>
          <w:szCs w:val="32"/>
        </w:rPr>
        <w:t>目标任务：</w:t>
      </w:r>
      <w:r>
        <w:rPr>
          <w:rFonts w:hint="eastAsia" w:ascii="Times New Roman" w:hAnsi="Times New Roman" w:eastAsia="仿宋"/>
          <w:color w:val="000000"/>
          <w:sz w:val="32"/>
          <w:szCs w:val="32"/>
        </w:rPr>
        <w:t>努力提升专业和课程内涵建设质量，加大调研和拓展力度，强化师范生岗前培养非师范专业实习实践。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cs="仿宋_GB2312"/>
          <w:b/>
          <w:bCs/>
          <w:color w:val="000000"/>
          <w:sz w:val="32"/>
          <w:szCs w:val="32"/>
        </w:rPr>
        <w:t>工作措施</w:t>
      </w:r>
      <w:r>
        <w:rPr>
          <w:rFonts w:hint="eastAsia" w:ascii="Times New Roman" w:hAnsi="Times New Roman" w:eastAsia="仿宋"/>
          <w:color w:val="000000"/>
          <w:sz w:val="32"/>
          <w:szCs w:val="32"/>
        </w:rPr>
        <w:t>：调整和优化专业结构布局，建立更合理的专业体系。开展省级一流专业</w:t>
      </w:r>
      <w:r>
        <w:rPr>
          <w:rFonts w:hint="eastAsia" w:ascii="Times New Roman" w:hAnsi="Times New Roman" w:eastAsia="仿宋"/>
          <w:color w:val="000000"/>
          <w:sz w:val="32"/>
          <w:szCs w:val="32"/>
          <w:lang w:val="en-US" w:eastAsia="zh-CN"/>
        </w:rPr>
        <w:t>建设</w:t>
      </w:r>
      <w:r>
        <w:rPr>
          <w:rFonts w:hint="eastAsia" w:ascii="Times New Roman" w:hAnsi="Times New Roman" w:eastAsia="仿宋"/>
          <w:color w:val="000000"/>
          <w:sz w:val="32"/>
          <w:szCs w:val="32"/>
        </w:rPr>
        <w:t>阶段性检查，补短板、强弱项，不断提升专业建设质量。指导各专业制定发展规划，明确专业发展方向和近期建设重点，引领带动专业建设水平全面提升。探索开展院级一流课程培育建设，鼓励教师打造体现学院人才培养特色、具备核心竞争力的品牌课程，为申报高水平一流课程做好准备</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鼓励学部建设特色课程群，推进教学改革和课程体系创新。结合顶岗实习</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分专业开展人才培养质量提升调研，为教学与管理改革提供有力支撑。强化校企合作，充分利用外部资源，加强非师范专业实践。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olor w:val="000000"/>
          <w:sz w:val="32"/>
          <w:szCs w:val="32"/>
        </w:rPr>
        <w:t>教务处、各学部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b/>
          <w:color w:val="000000"/>
          <w:sz w:val="32"/>
          <w:szCs w:val="32"/>
          <w:lang w:val="en-US" w:eastAsia="zh-CN"/>
        </w:rPr>
      </w:pPr>
      <w:r>
        <w:rPr>
          <w:rFonts w:hint="eastAsia" w:ascii="Times New Roman" w:hAnsi="Times New Roman" w:eastAsia="仿宋"/>
          <w:b/>
          <w:color w:val="000000"/>
          <w:sz w:val="32"/>
          <w:szCs w:val="32"/>
        </w:rPr>
        <w:t>7.</w:t>
      </w:r>
      <w:r>
        <w:rPr>
          <w:rFonts w:hint="eastAsia" w:ascii="Times New Roman" w:hAnsi="Times New Roman" w:eastAsia="仿宋"/>
          <w:b/>
          <w:color w:val="000000"/>
          <w:sz w:val="32"/>
          <w:szCs w:val="32"/>
          <w:lang w:val="en-US" w:eastAsia="zh-CN"/>
        </w:rPr>
        <w:t>多措并举提升育人质量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b/>
          <w:bCs/>
          <w:color w:val="000000"/>
          <w:sz w:val="32"/>
          <w:szCs w:val="32"/>
        </w:rPr>
        <w:t>目标任务：</w:t>
      </w:r>
      <w:r>
        <w:rPr>
          <w:rFonts w:hint="eastAsia" w:ascii="Times New Roman" w:hAnsi="Times New Roman" w:eastAsia="仿宋" w:cs="仿宋_GB2312"/>
          <w:bCs/>
          <w:color w:val="000000"/>
          <w:kern w:val="0"/>
          <w:sz w:val="32"/>
          <w:szCs w:val="32"/>
          <w:lang w:val="en-US" w:eastAsia="zh-CN"/>
        </w:rPr>
        <w:t>立足于加强人才培养，提升学生素质，</w:t>
      </w:r>
      <w:r>
        <w:rPr>
          <w:rFonts w:hint="eastAsia" w:ascii="Times New Roman" w:hAnsi="Times New Roman" w:eastAsia="仿宋" w:cs="仿宋_GB2312"/>
          <w:bCs/>
          <w:color w:val="000000"/>
          <w:kern w:val="0"/>
          <w:sz w:val="32"/>
          <w:szCs w:val="32"/>
        </w:rPr>
        <w:t>深入推进五育并举，提升协同育人效果。</w:t>
      </w:r>
      <w:r>
        <w:rPr>
          <w:rFonts w:hint="eastAsia" w:ascii="Times New Roman" w:hAnsi="Times New Roman" w:eastAsia="仿宋"/>
          <w:color w:val="000000"/>
          <w:sz w:val="32"/>
          <w:szCs w:val="32"/>
        </w:rPr>
        <w:t>进一步优化学风，</w:t>
      </w:r>
      <w:r>
        <w:rPr>
          <w:rFonts w:hint="eastAsia" w:ascii="Times New Roman" w:hAnsi="Times New Roman" w:eastAsia="仿宋" w:cs="仿宋_GB2312"/>
          <w:bCs/>
          <w:color w:val="000000"/>
          <w:kern w:val="0"/>
          <w:sz w:val="32"/>
          <w:szCs w:val="32"/>
        </w:rPr>
        <w:t>抓好新生学业导航，</w:t>
      </w:r>
      <w:r>
        <w:rPr>
          <w:rFonts w:hint="eastAsia" w:ascii="Times New Roman" w:hAnsi="Times New Roman" w:eastAsia="仿宋"/>
          <w:color w:val="000000"/>
          <w:sz w:val="32"/>
          <w:szCs w:val="32"/>
        </w:rPr>
        <w:t>多措并举提升育人质量，努力培养担当民族复兴大任的时代新人。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b/>
          <w:bCs/>
          <w:color w:val="000000"/>
          <w:sz w:val="32"/>
          <w:szCs w:val="32"/>
        </w:rPr>
        <w:t>工作措施：</w:t>
      </w:r>
      <w:r>
        <w:rPr>
          <w:rFonts w:hint="eastAsia" w:ascii="Times New Roman" w:hAnsi="Times New Roman" w:eastAsia="仿宋" w:cs="仿宋_GB2312"/>
          <w:bCs/>
          <w:color w:val="000000"/>
          <w:kern w:val="0"/>
          <w:sz w:val="32"/>
          <w:szCs w:val="32"/>
        </w:rPr>
        <w:t>开好“习近平新时代中国特色社会主义思想概论”课，深入实施时代新人铸魂工程。以河北省美育评估为契机，以评促建，做好迎接美育教育评估抽检的准备工作。</w:t>
      </w:r>
      <w:r>
        <w:rPr>
          <w:rFonts w:hint="eastAsia" w:ascii="Times New Roman" w:hAnsi="Times New Roman" w:eastAsia="仿宋" w:cs="仿宋_GB2312"/>
          <w:bCs/>
          <w:color w:val="000000"/>
          <w:kern w:val="0"/>
          <w:sz w:val="32"/>
          <w:szCs w:val="32"/>
          <w:lang w:val="en-US" w:eastAsia="zh-CN"/>
        </w:rPr>
        <w:t>加强</w:t>
      </w:r>
      <w:r>
        <w:rPr>
          <w:rFonts w:hint="eastAsia" w:ascii="Times New Roman" w:hAnsi="Times New Roman" w:eastAsia="仿宋" w:cs="仿宋_GB2312"/>
          <w:bCs/>
          <w:color w:val="000000"/>
          <w:kern w:val="0"/>
          <w:sz w:val="32"/>
          <w:szCs w:val="32"/>
        </w:rPr>
        <w:t>学院美育教研室</w:t>
      </w:r>
      <w:r>
        <w:rPr>
          <w:rFonts w:hint="eastAsia" w:ascii="Times New Roman" w:hAnsi="Times New Roman" w:eastAsia="仿宋" w:cs="仿宋_GB2312"/>
          <w:bCs/>
          <w:color w:val="000000"/>
          <w:kern w:val="0"/>
          <w:sz w:val="32"/>
          <w:szCs w:val="32"/>
          <w:lang w:val="en-US" w:eastAsia="zh-CN"/>
        </w:rPr>
        <w:t>建设</w:t>
      </w:r>
      <w:r>
        <w:rPr>
          <w:rFonts w:hint="eastAsia" w:ascii="Times New Roman" w:hAnsi="Times New Roman" w:eastAsia="仿宋" w:cs="仿宋_GB2312"/>
          <w:bCs/>
          <w:color w:val="000000"/>
          <w:kern w:val="0"/>
          <w:sz w:val="32"/>
          <w:szCs w:val="32"/>
        </w:rPr>
        <w:t>，进一步拓展美育层次范围</w:t>
      </w:r>
      <w:r>
        <w:rPr>
          <w:rFonts w:hint="eastAsia" w:ascii="Times New Roman" w:hAnsi="Times New Roman" w:eastAsia="仿宋" w:cs="仿宋_GB2312"/>
          <w:bCs/>
          <w:color w:val="000000"/>
          <w:kern w:val="0"/>
          <w:sz w:val="32"/>
          <w:szCs w:val="32"/>
          <w:lang w:eastAsia="zh-CN"/>
        </w:rPr>
        <w:t>。</w:t>
      </w:r>
      <w:r>
        <w:rPr>
          <w:rFonts w:hint="eastAsia" w:ascii="Times New Roman" w:hAnsi="Times New Roman" w:eastAsia="仿宋" w:cs="仿宋_GB2312"/>
          <w:bCs/>
          <w:color w:val="000000"/>
          <w:kern w:val="0"/>
          <w:sz w:val="32"/>
          <w:szCs w:val="32"/>
        </w:rPr>
        <w:t>继续完善实践类美育通识选修课建设，探索</w:t>
      </w:r>
      <w:r>
        <w:rPr>
          <w:rFonts w:hint="eastAsia" w:ascii="Times New Roman" w:hAnsi="Times New Roman" w:eastAsia="仿宋" w:cs="仿宋_GB2312"/>
          <w:bCs/>
          <w:color w:val="000000"/>
          <w:kern w:val="0"/>
          <w:sz w:val="32"/>
          <w:szCs w:val="32"/>
          <w:lang w:val="en-US" w:eastAsia="zh-CN"/>
        </w:rPr>
        <w:t>开展</w:t>
      </w:r>
      <w:r>
        <w:rPr>
          <w:rFonts w:hint="eastAsia" w:ascii="Times New Roman" w:hAnsi="Times New Roman" w:eastAsia="仿宋" w:cs="仿宋_GB2312"/>
          <w:bCs/>
          <w:color w:val="000000"/>
          <w:kern w:val="0"/>
          <w:sz w:val="32"/>
          <w:szCs w:val="32"/>
        </w:rPr>
        <w:t>参与式、体验式美育活动。通过组织劳动技能大赛、开展校内志愿活动、培育劳动类学生社团等方式，提升劳动育人的功效。通过积极加强管理、强化教育引导、合理增加课程难度等方式，</w:t>
      </w:r>
      <w:r>
        <w:rPr>
          <w:rFonts w:hint="eastAsia" w:ascii="Times New Roman" w:hAnsi="Times New Roman" w:eastAsia="仿宋" w:cs="仿宋_GB2312"/>
          <w:bCs/>
          <w:color w:val="000000"/>
          <w:kern w:val="0"/>
          <w:sz w:val="32"/>
          <w:szCs w:val="32"/>
          <w:lang w:val="en-US" w:eastAsia="zh-CN"/>
        </w:rPr>
        <w:t>培育优良学风</w:t>
      </w:r>
      <w:r>
        <w:rPr>
          <w:rFonts w:hint="eastAsia" w:ascii="Times New Roman" w:hAnsi="Times New Roman" w:eastAsia="仿宋" w:cs="仿宋_GB2312"/>
          <w:bCs/>
          <w:color w:val="000000"/>
          <w:kern w:val="0"/>
          <w:sz w:val="32"/>
          <w:szCs w:val="32"/>
        </w:rPr>
        <w:t>。做好新生学业导航，引导学生明确学习目标，强化专业认知。通过开展党员教师公益课堂、开设公选课等方式，有针对性地</w:t>
      </w:r>
      <w:r>
        <w:rPr>
          <w:rFonts w:hint="eastAsia" w:ascii="Times New Roman" w:hAnsi="Times New Roman" w:eastAsia="仿宋" w:cs="仿宋_GB2312"/>
          <w:bCs/>
          <w:color w:val="000000"/>
          <w:kern w:val="0"/>
          <w:sz w:val="32"/>
          <w:szCs w:val="32"/>
          <w:lang w:val="en-US" w:eastAsia="zh-CN"/>
        </w:rPr>
        <w:t>提升</w:t>
      </w:r>
      <w:r>
        <w:rPr>
          <w:rFonts w:hint="eastAsia" w:ascii="Times New Roman" w:hAnsi="Times New Roman" w:eastAsia="仿宋" w:cs="仿宋_GB2312"/>
          <w:bCs/>
          <w:color w:val="000000"/>
          <w:kern w:val="0"/>
          <w:sz w:val="32"/>
          <w:szCs w:val="32"/>
        </w:rPr>
        <w:t>学习能力，为学生补足基础知识缺陷。修订学生毕业论文管理制度，加强对毕业论文的过程化管理，提升教师指导论文的有效性和针对性。各单位</w:t>
      </w:r>
      <w:r>
        <w:rPr>
          <w:rFonts w:hint="eastAsia" w:ascii="Times New Roman" w:hAnsi="Times New Roman" w:eastAsia="仿宋" w:cs="仿宋_GB2312"/>
          <w:bCs/>
          <w:color w:val="000000"/>
          <w:kern w:val="0"/>
          <w:sz w:val="32"/>
          <w:szCs w:val="32"/>
          <w:lang w:val="en-US" w:eastAsia="zh-CN"/>
        </w:rPr>
        <w:t>结合业务职能，</w:t>
      </w:r>
      <w:r>
        <w:rPr>
          <w:rFonts w:hint="eastAsia" w:ascii="Times New Roman" w:hAnsi="Times New Roman" w:eastAsia="仿宋" w:cs="仿宋_GB2312"/>
          <w:bCs/>
          <w:color w:val="000000"/>
          <w:kern w:val="0"/>
          <w:sz w:val="32"/>
          <w:szCs w:val="32"/>
        </w:rPr>
        <w:t>邀请专家、学者到学院作高水平学术讲座和文化底蕴深厚的报告，</w:t>
      </w:r>
      <w:r>
        <w:rPr>
          <w:rFonts w:hint="eastAsia" w:ascii="Times New Roman" w:hAnsi="Times New Roman" w:eastAsia="仿宋" w:cs="仿宋_GB2312"/>
          <w:bCs/>
          <w:color w:val="000000"/>
          <w:kern w:val="0"/>
          <w:sz w:val="32"/>
          <w:szCs w:val="32"/>
          <w:lang w:val="en-US" w:eastAsia="zh-CN"/>
        </w:rPr>
        <w:t>开展高水平文化艺术展示展演，提升</w:t>
      </w:r>
      <w:r>
        <w:rPr>
          <w:rFonts w:hint="eastAsia" w:ascii="Times New Roman" w:hAnsi="Times New Roman" w:eastAsia="仿宋" w:cs="仿宋_GB2312"/>
          <w:bCs/>
          <w:color w:val="000000"/>
          <w:kern w:val="0"/>
          <w:sz w:val="32"/>
          <w:szCs w:val="32"/>
        </w:rPr>
        <w:t>学院的学术氛围和</w:t>
      </w:r>
      <w:r>
        <w:rPr>
          <w:rFonts w:hint="eastAsia" w:ascii="Times New Roman" w:hAnsi="Times New Roman" w:eastAsia="仿宋" w:cs="仿宋_GB2312"/>
          <w:bCs/>
          <w:color w:val="000000"/>
          <w:kern w:val="0"/>
          <w:sz w:val="32"/>
          <w:szCs w:val="32"/>
          <w:lang w:eastAsia="zh-CN"/>
        </w:rPr>
        <w:t>文化品位</w:t>
      </w:r>
      <w:r>
        <w:rPr>
          <w:rFonts w:hint="eastAsia" w:ascii="Times New Roman" w:hAnsi="Times New Roman" w:eastAsia="仿宋" w:cs="仿宋_GB2312"/>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olor w:val="000000"/>
          <w:sz w:val="32"/>
          <w:szCs w:val="32"/>
        </w:rPr>
        <w:t>教务处、学生处、各学部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color w:val="000000"/>
          <w:sz w:val="32"/>
          <w:szCs w:val="32"/>
        </w:rPr>
      </w:pPr>
      <w:r>
        <w:rPr>
          <w:rFonts w:hint="eastAsia" w:ascii="Times New Roman" w:hAnsi="Times New Roman" w:eastAsia="仿宋"/>
          <w:b/>
          <w:color w:val="000000"/>
          <w:sz w:val="32"/>
          <w:szCs w:val="32"/>
        </w:rPr>
        <w:t>8.提升教师队伍综合素质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bCs/>
          <w:color w:val="000000"/>
          <w:sz w:val="32"/>
          <w:szCs w:val="32"/>
        </w:rPr>
        <w:t>目标任务：</w:t>
      </w:r>
      <w:r>
        <w:rPr>
          <w:rFonts w:hint="eastAsia" w:ascii="Times New Roman" w:hAnsi="Times New Roman" w:eastAsia="仿宋"/>
          <w:color w:val="000000"/>
          <w:sz w:val="32"/>
          <w:szCs w:val="32"/>
        </w:rPr>
        <w:t>立足</w:t>
      </w:r>
      <w:r>
        <w:rPr>
          <w:rFonts w:hint="eastAsia" w:ascii="Times New Roman" w:hAnsi="Times New Roman" w:eastAsia="仿宋"/>
          <w:color w:val="000000"/>
          <w:sz w:val="32"/>
          <w:szCs w:val="32"/>
          <w:lang w:val="en-US" w:eastAsia="zh-CN"/>
        </w:rPr>
        <w:t>于加强师资培养，提升教师素质</w:t>
      </w:r>
      <w:r>
        <w:rPr>
          <w:rFonts w:hint="eastAsia"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着力</w:t>
      </w:r>
      <w:r>
        <w:rPr>
          <w:rFonts w:hint="eastAsia" w:ascii="Times New Roman" w:hAnsi="Times New Roman" w:eastAsia="仿宋"/>
          <w:color w:val="000000"/>
          <w:sz w:val="32"/>
          <w:szCs w:val="32"/>
        </w:rPr>
        <w:t>提高教师教学和科研工作水平，培养造就一支师德高尚、业务精湛、结构合理、充满活力的高素质专业化教师队伍。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bCs/>
          <w:color w:val="000000"/>
          <w:sz w:val="32"/>
          <w:szCs w:val="32"/>
        </w:rPr>
        <w:t>工作措施：</w:t>
      </w:r>
      <w:r>
        <w:rPr>
          <w:rFonts w:hint="eastAsia" w:ascii="Times New Roman" w:hAnsi="Times New Roman" w:eastAsia="仿宋"/>
          <w:color w:val="000000"/>
          <w:sz w:val="32"/>
          <w:szCs w:val="32"/>
        </w:rPr>
        <w:t>努力促进教师</w:t>
      </w:r>
      <w:r>
        <w:rPr>
          <w:rFonts w:hint="eastAsia" w:ascii="Times New Roman" w:hAnsi="Times New Roman" w:eastAsia="仿宋"/>
          <w:color w:val="000000"/>
          <w:sz w:val="32"/>
          <w:szCs w:val="32"/>
          <w:lang w:val="en-US" w:eastAsia="zh-CN"/>
        </w:rPr>
        <w:t>素质</w:t>
      </w:r>
      <w:r>
        <w:rPr>
          <w:rFonts w:hint="eastAsia" w:ascii="Times New Roman" w:hAnsi="Times New Roman" w:eastAsia="仿宋"/>
          <w:color w:val="000000"/>
          <w:sz w:val="32"/>
          <w:szCs w:val="32"/>
        </w:rPr>
        <w:t>提升，激励教师成为学生为学、为事、为人的“大先生”。继续</w:t>
      </w:r>
      <w:r>
        <w:rPr>
          <w:rFonts w:hint="eastAsia" w:ascii="Times New Roman" w:hAnsi="Times New Roman" w:eastAsia="仿宋"/>
          <w:color w:val="000000"/>
          <w:sz w:val="32"/>
          <w:szCs w:val="32"/>
          <w:lang w:val="en-US" w:eastAsia="zh-CN"/>
        </w:rPr>
        <w:t>努力</w:t>
      </w:r>
      <w:r>
        <w:rPr>
          <w:rFonts w:hint="eastAsia" w:ascii="Times New Roman" w:hAnsi="Times New Roman" w:eastAsia="仿宋"/>
          <w:color w:val="000000"/>
          <w:sz w:val="32"/>
          <w:szCs w:val="32"/>
        </w:rPr>
        <w:t>争取校本部加大选派优质师资的力度，积极选聘其他高校高水平师资和业界专家充实教师队伍，优化师资队伍结构。修订科研奖励管理办法，探索构建符合我院实际的科研评价体系，鼓励教师围绕国家和河北省发展战略需求，开展高水平科学研究，产出高水平学术成果。</w:t>
      </w:r>
      <w:r>
        <w:rPr>
          <w:rFonts w:hint="eastAsia" w:ascii="Times New Roman" w:hAnsi="Times New Roman" w:eastAsia="仿宋"/>
          <w:color w:val="000000"/>
          <w:sz w:val="32"/>
          <w:szCs w:val="32"/>
          <w:lang w:val="en-US" w:eastAsia="zh-CN"/>
        </w:rPr>
        <w:t>组织教师积极参加虚拟教研室活动。</w:t>
      </w:r>
      <w:r>
        <w:rPr>
          <w:rFonts w:hint="eastAsia" w:ascii="Times New Roman" w:hAnsi="Times New Roman" w:eastAsia="仿宋"/>
          <w:color w:val="000000"/>
          <w:sz w:val="32"/>
          <w:szCs w:val="32"/>
        </w:rPr>
        <w:t>开展教学、科研类评奖评优，选树典型，形成示范效应。充分利用教师岗前培训等途径，组织开展教师职业生涯发展</w:t>
      </w:r>
      <w:r>
        <w:rPr>
          <w:rFonts w:hint="eastAsia" w:ascii="Times New Roman" w:hAnsi="Times New Roman" w:eastAsia="仿宋"/>
          <w:color w:val="000000"/>
          <w:sz w:val="32"/>
          <w:szCs w:val="32"/>
          <w:lang w:val="en-US" w:eastAsia="zh-CN"/>
        </w:rPr>
        <w:t>等</w:t>
      </w:r>
      <w:r>
        <w:rPr>
          <w:rFonts w:hint="eastAsia" w:ascii="Times New Roman" w:hAnsi="Times New Roman" w:eastAsia="仿宋"/>
          <w:color w:val="000000"/>
          <w:sz w:val="32"/>
          <w:szCs w:val="32"/>
        </w:rPr>
        <w:t>专题培训，提升教师专业素养。坚持师德师风第一标准，全面落实新时代高校教师职业行为准则，对师德违规问题“零容忍”。营造尊师重教的风尚，构建全方位的教师发展保障体系，引导广大教师树立“躬耕教坛、强国有我”的志向和抱负，坚守三尺讲台，潜心教书育人。通过加强院史教育、</w:t>
      </w:r>
      <w:r>
        <w:rPr>
          <w:rFonts w:hint="eastAsia" w:ascii="Times New Roman" w:hAnsi="Times New Roman" w:eastAsia="仿宋"/>
          <w:color w:val="000000"/>
          <w:sz w:val="32"/>
          <w:szCs w:val="32"/>
          <w:lang w:val="en-US" w:eastAsia="zh-CN"/>
        </w:rPr>
        <w:t>抓细</w:t>
      </w:r>
      <w:r>
        <w:rPr>
          <w:rFonts w:hint="eastAsia" w:ascii="Times New Roman" w:hAnsi="Times New Roman" w:eastAsia="仿宋"/>
          <w:color w:val="000000"/>
          <w:sz w:val="32"/>
          <w:szCs w:val="32"/>
        </w:rPr>
        <w:t>做好思想工作</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lang w:val="en-US" w:eastAsia="zh-CN"/>
        </w:rPr>
        <w:t>强化院务公开</w:t>
      </w:r>
      <w:r>
        <w:rPr>
          <w:rFonts w:hint="eastAsia" w:ascii="Times New Roman" w:hAnsi="Times New Roman" w:eastAsia="仿宋"/>
          <w:color w:val="000000"/>
          <w:sz w:val="32"/>
          <w:szCs w:val="32"/>
        </w:rPr>
        <w:t>等方式，</w:t>
      </w:r>
      <w:r>
        <w:rPr>
          <w:rFonts w:hint="eastAsia" w:ascii="Times New Roman" w:hAnsi="Times New Roman" w:eastAsia="仿宋"/>
          <w:color w:val="000000"/>
          <w:sz w:val="32"/>
          <w:szCs w:val="32"/>
          <w:lang w:val="en-US" w:eastAsia="zh-CN"/>
        </w:rPr>
        <w:t>进一步</w:t>
      </w:r>
      <w:r>
        <w:rPr>
          <w:rFonts w:hint="eastAsia" w:ascii="Times New Roman" w:hAnsi="Times New Roman" w:eastAsia="仿宋"/>
          <w:color w:val="000000"/>
          <w:sz w:val="32"/>
          <w:szCs w:val="32"/>
        </w:rPr>
        <w:t>提振教职工士气。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olor w:val="00000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olor w:val="000000"/>
          <w:sz w:val="32"/>
          <w:szCs w:val="32"/>
        </w:rPr>
        <w:t>教务处、党委教师工作部、行政处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
          <w:bCs/>
          <w:color w:val="000000"/>
          <w:kern w:val="0"/>
          <w:sz w:val="32"/>
          <w:szCs w:val="32"/>
        </w:rPr>
      </w:pPr>
      <w:r>
        <w:rPr>
          <w:rFonts w:hint="eastAsia" w:ascii="Times New Roman" w:hAnsi="Times New Roman" w:eastAsia="仿宋" w:cs="仿宋_GB2312"/>
          <w:b/>
          <w:bCs/>
          <w:color w:val="000000"/>
          <w:kern w:val="0"/>
          <w:sz w:val="32"/>
          <w:szCs w:val="32"/>
        </w:rPr>
        <w:t>9.做好学生教育管理服务工作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b/>
          <w:bCs/>
          <w:color w:val="000000"/>
          <w:sz w:val="32"/>
          <w:szCs w:val="32"/>
        </w:rPr>
        <w:t>目标任务：</w:t>
      </w:r>
      <w:r>
        <w:rPr>
          <w:rFonts w:hint="eastAsia" w:ascii="Times New Roman" w:hAnsi="Times New Roman" w:eastAsia="仿宋" w:cs="仿宋_GB2312"/>
          <w:bCs/>
          <w:color w:val="000000"/>
          <w:kern w:val="0"/>
          <w:sz w:val="32"/>
          <w:szCs w:val="32"/>
        </w:rPr>
        <w:t>抓严、抓实、抓细学生管理各工作环节，努力提升学工队伍工作水平，全方位加强教育管理服务工作。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_GB2312"/>
          <w:bCs/>
          <w:color w:val="000000"/>
          <w:kern w:val="0"/>
          <w:sz w:val="32"/>
          <w:szCs w:val="32"/>
        </w:rPr>
      </w:pPr>
      <w:r>
        <w:rPr>
          <w:rFonts w:hint="eastAsia" w:ascii="Times New Roman" w:hAnsi="Times New Roman" w:eastAsia="仿宋"/>
          <w:b/>
          <w:bCs/>
          <w:color w:val="000000"/>
          <w:sz w:val="32"/>
          <w:szCs w:val="32"/>
        </w:rPr>
        <w:t>工作措施：</w:t>
      </w:r>
      <w:r>
        <w:rPr>
          <w:rFonts w:hint="eastAsia" w:ascii="Times New Roman" w:hAnsi="Times New Roman" w:eastAsia="仿宋" w:cs="仿宋_GB2312"/>
          <w:bCs/>
          <w:color w:val="000000"/>
          <w:kern w:val="0"/>
          <w:sz w:val="32"/>
          <w:szCs w:val="32"/>
          <w:lang w:val="en-US" w:eastAsia="zh-CN"/>
        </w:rPr>
        <w:t>强化“以学生为中心”，推进</w:t>
      </w:r>
      <w:r>
        <w:rPr>
          <w:rFonts w:hint="eastAsia" w:ascii="Times New Roman" w:hAnsi="Times New Roman" w:eastAsia="仿宋" w:cs="仿宋_GB2312"/>
          <w:bCs/>
          <w:color w:val="000000"/>
          <w:kern w:val="0"/>
          <w:sz w:val="32"/>
          <w:szCs w:val="32"/>
        </w:rPr>
        <w:t>“一站式”学生社区建设，将育人力量和资源下沉到学生社区。提升学生管理信息化建设水平，力争在学生管理中实现数据多跑路，减少不必要的重复性工作。加强部门间对学生信息的共享、联动，便于全方位掌握学生情况。面向辅导员队伍</w:t>
      </w:r>
      <w:r>
        <w:rPr>
          <w:rFonts w:hint="eastAsia" w:ascii="Times New Roman" w:hAnsi="Times New Roman" w:eastAsia="仿宋" w:cs="仿宋_GB2312"/>
          <w:bCs/>
          <w:color w:val="000000"/>
          <w:kern w:val="0"/>
          <w:sz w:val="32"/>
          <w:szCs w:val="32"/>
          <w:lang w:val="en-US" w:eastAsia="zh-CN"/>
        </w:rPr>
        <w:t>开展</w:t>
      </w:r>
      <w:r>
        <w:rPr>
          <w:rFonts w:hint="eastAsia" w:ascii="Times New Roman" w:hAnsi="Times New Roman" w:eastAsia="仿宋" w:cs="仿宋_GB2312"/>
          <w:bCs/>
          <w:color w:val="000000"/>
          <w:kern w:val="0"/>
          <w:sz w:val="32"/>
          <w:szCs w:val="32"/>
        </w:rPr>
        <w:t>excel工作法的专题培训。积极谋划提升学生素养和人才培养质量的学生活动，拓展第二课堂育人功能。拓展学生信息反馈渠道，提高科学预判的能力，及时化解矛盾和舆情。加强学生骨干培养和学生社团管理，深入做好资助育人工作，强化大学生心理健康教育。加强国防教育和征兵工作，</w:t>
      </w:r>
      <w:r>
        <w:rPr>
          <w:rFonts w:hint="eastAsia" w:ascii="Times New Roman" w:hAnsi="Times New Roman" w:eastAsia="仿宋" w:cs="仿宋_GB2312"/>
          <w:bCs/>
          <w:color w:val="000000"/>
          <w:kern w:val="0"/>
          <w:sz w:val="32"/>
          <w:szCs w:val="32"/>
          <w:lang w:val="en-US" w:eastAsia="zh-CN"/>
        </w:rPr>
        <w:t>多层次开展征兵宣传动员，</w:t>
      </w:r>
      <w:r>
        <w:rPr>
          <w:rFonts w:hint="eastAsia" w:ascii="Times New Roman" w:hAnsi="Times New Roman" w:eastAsia="仿宋" w:cs="仿宋_GB2312"/>
          <w:bCs/>
          <w:color w:val="000000"/>
          <w:kern w:val="0"/>
          <w:sz w:val="32"/>
          <w:szCs w:val="32"/>
        </w:rPr>
        <w:t>落实有关大学生入伍优抚政策。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s="仿宋_GB2312"/>
          <w:bCs/>
          <w:color w:val="000000"/>
          <w:sz w:val="32"/>
          <w:szCs w:val="32"/>
        </w:rPr>
        <w:t>党委学生工作部、武装部、</w:t>
      </w:r>
      <w:r>
        <w:rPr>
          <w:rFonts w:hint="eastAsia" w:ascii="Times New Roman" w:hAnsi="Times New Roman" w:eastAsia="仿宋"/>
          <w:color w:val="000000"/>
          <w:sz w:val="32"/>
          <w:szCs w:val="32"/>
        </w:rPr>
        <w:t>学生处、团委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
          <w:bCs/>
          <w:color w:val="000000"/>
          <w:kern w:val="0"/>
          <w:sz w:val="32"/>
          <w:szCs w:val="32"/>
        </w:rPr>
      </w:pPr>
      <w:r>
        <w:rPr>
          <w:rFonts w:hint="eastAsia" w:ascii="Times New Roman" w:hAnsi="Times New Roman" w:eastAsia="仿宋" w:cs="仿宋_GB2312"/>
          <w:b/>
          <w:bCs/>
          <w:color w:val="000000"/>
          <w:kern w:val="0"/>
          <w:sz w:val="32"/>
          <w:szCs w:val="32"/>
        </w:rPr>
        <w:t>10.提升就业创业工作质量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cs="仿宋_GB2312"/>
          <w:b/>
          <w:bCs/>
          <w:color w:val="000000"/>
          <w:kern w:val="0"/>
          <w:sz w:val="32"/>
          <w:szCs w:val="32"/>
        </w:rPr>
        <w:t>目标任务：</w:t>
      </w:r>
      <w:r>
        <w:rPr>
          <w:rFonts w:hint="eastAsia" w:ascii="Times New Roman" w:hAnsi="Times New Roman" w:eastAsia="仿宋" w:cs="仿宋_GB2312"/>
          <w:bCs/>
          <w:color w:val="000000"/>
          <w:kern w:val="0"/>
          <w:sz w:val="32"/>
          <w:szCs w:val="32"/>
        </w:rPr>
        <w:t>加强生涯规划和就业创业课程建设，提升就业、创业指导工作水平。建立健全“访企拓岗”工作机制，拓展学生就业市场。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b/>
          <w:bCs/>
          <w:color w:val="000000"/>
          <w:sz w:val="32"/>
          <w:szCs w:val="32"/>
        </w:rPr>
        <w:t>工作措施：</w:t>
      </w:r>
      <w:r>
        <w:rPr>
          <w:rFonts w:hint="eastAsia" w:ascii="Times New Roman" w:hAnsi="Times New Roman" w:eastAsia="仿宋" w:cs="仿宋_GB2312"/>
          <w:bCs/>
          <w:color w:val="000000"/>
          <w:kern w:val="0"/>
          <w:sz w:val="32"/>
          <w:szCs w:val="32"/>
        </w:rPr>
        <w:t>推动生涯规划和就业创业课程改革，引进企业HR和其他高校就业指导资源，推进就业指导课程模块化，建立全程化就业引导机制，提升就业指导的有效性。开展就业队伍培训，提升就业队伍的综合素质和能力。优化就业工作考核机制，发挥就业考核指挥棒的作用，实现考核结果同就业成效有机联动。引导企业专家走进来、老师和学生走出去，让师生充分了解行业发展和就业现实，帮助学生树立正确的择业观。建立健全“访企拓岗”工作机制</w:t>
      </w:r>
      <w:r>
        <w:rPr>
          <w:rFonts w:hint="eastAsia" w:ascii="Times New Roman" w:hAnsi="Times New Roman" w:eastAsia="仿宋" w:cs="仿宋_GB2312"/>
          <w:bCs/>
          <w:color w:val="000000"/>
          <w:kern w:val="0"/>
          <w:sz w:val="32"/>
          <w:szCs w:val="32"/>
          <w:lang w:eastAsia="zh-CN"/>
        </w:rPr>
        <w:t>，</w:t>
      </w:r>
      <w:r>
        <w:rPr>
          <w:rFonts w:hint="eastAsia" w:ascii="Times New Roman" w:hAnsi="Times New Roman" w:eastAsia="仿宋" w:cs="仿宋_GB2312"/>
          <w:bCs/>
          <w:color w:val="000000"/>
          <w:kern w:val="0"/>
          <w:sz w:val="32"/>
          <w:szCs w:val="32"/>
          <w:lang w:val="en-US" w:eastAsia="zh-CN"/>
        </w:rPr>
        <w:t>强化面向用人单位的宣传工作</w:t>
      </w:r>
      <w:r>
        <w:rPr>
          <w:rFonts w:hint="eastAsia" w:ascii="Times New Roman" w:hAnsi="Times New Roman" w:eastAsia="仿宋" w:cs="仿宋_GB2312"/>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cs="仿宋_GB2312"/>
          <w:b/>
          <w:color w:val="000000"/>
          <w:kern w:val="0"/>
          <w:sz w:val="32"/>
          <w:szCs w:val="32"/>
        </w:rPr>
        <w:t>责任单位：</w:t>
      </w:r>
      <w:r>
        <w:rPr>
          <w:rFonts w:hint="eastAsia" w:ascii="Times New Roman" w:hAnsi="Times New Roman" w:eastAsia="仿宋" w:cs="仿宋_GB2312"/>
          <w:bCs/>
          <w:color w:val="000000"/>
          <w:kern w:val="0"/>
          <w:sz w:val="32"/>
          <w:szCs w:val="32"/>
        </w:rPr>
        <w:t>招生就业处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
          <w:bCs/>
          <w:color w:val="000000"/>
          <w:kern w:val="0"/>
          <w:sz w:val="32"/>
          <w:szCs w:val="32"/>
        </w:rPr>
      </w:pPr>
      <w:r>
        <w:rPr>
          <w:rFonts w:hint="eastAsia" w:ascii="Times New Roman" w:hAnsi="Times New Roman" w:eastAsia="仿宋" w:cs="仿宋_GB2312"/>
          <w:b/>
          <w:bCs/>
          <w:color w:val="000000"/>
          <w:kern w:val="0"/>
          <w:sz w:val="32"/>
          <w:szCs w:val="32"/>
        </w:rPr>
        <w:t>11.充分发挥教辅单位</w:t>
      </w:r>
      <w:r>
        <w:rPr>
          <w:rFonts w:hint="eastAsia" w:ascii="Times New Roman" w:hAnsi="Times New Roman" w:eastAsia="仿宋" w:cs="仿宋_GB2312"/>
          <w:b/>
          <w:bCs/>
          <w:color w:val="000000"/>
          <w:kern w:val="0"/>
          <w:sz w:val="32"/>
          <w:szCs w:val="32"/>
          <w:lang w:val="en-US" w:eastAsia="zh-CN"/>
        </w:rPr>
        <w:t>的保障</w:t>
      </w:r>
      <w:r>
        <w:rPr>
          <w:rFonts w:hint="eastAsia" w:ascii="Times New Roman" w:hAnsi="Times New Roman" w:eastAsia="仿宋" w:cs="仿宋_GB2312"/>
          <w:b/>
          <w:bCs/>
          <w:color w:val="000000"/>
          <w:kern w:val="0"/>
          <w:sz w:val="32"/>
          <w:szCs w:val="32"/>
        </w:rPr>
        <w:t>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b/>
          <w:bCs/>
          <w:color w:val="000000"/>
          <w:sz w:val="32"/>
          <w:szCs w:val="32"/>
        </w:rPr>
        <w:t>目标任务：</w:t>
      </w:r>
      <w:r>
        <w:rPr>
          <w:rFonts w:hint="eastAsia" w:ascii="Times New Roman" w:hAnsi="Times New Roman" w:eastAsia="仿宋" w:cs="仿宋_GB2312"/>
          <w:bCs/>
          <w:color w:val="000000"/>
          <w:kern w:val="0"/>
          <w:sz w:val="32"/>
          <w:szCs w:val="32"/>
        </w:rPr>
        <w:t>努力提升教辅单位教学、服务工作能力，为“双培养、双提升”工程</w:t>
      </w:r>
      <w:r>
        <w:rPr>
          <w:rFonts w:hint="eastAsia" w:ascii="Times New Roman" w:hAnsi="Times New Roman" w:eastAsia="仿宋" w:cs="仿宋_GB2312"/>
          <w:bCs/>
          <w:color w:val="000000"/>
          <w:kern w:val="0"/>
          <w:sz w:val="32"/>
          <w:szCs w:val="32"/>
          <w:lang w:eastAsia="zh-CN"/>
        </w:rPr>
        <w:t>作出</w:t>
      </w:r>
      <w:r>
        <w:rPr>
          <w:rFonts w:hint="eastAsia" w:ascii="Times New Roman" w:hAnsi="Times New Roman" w:eastAsia="仿宋" w:cs="仿宋_GB2312"/>
          <w:bCs/>
          <w:color w:val="000000"/>
          <w:kern w:val="0"/>
          <w:sz w:val="32"/>
          <w:szCs w:val="32"/>
        </w:rPr>
        <w:t>应有贡献。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s="仿宋_GB2312"/>
          <w:bCs/>
          <w:color w:val="000000"/>
          <w:kern w:val="0"/>
          <w:sz w:val="32"/>
          <w:szCs w:val="32"/>
        </w:rPr>
      </w:pPr>
      <w:r>
        <w:rPr>
          <w:rFonts w:hint="eastAsia" w:ascii="Times New Roman" w:hAnsi="Times New Roman" w:eastAsia="仿宋"/>
          <w:b/>
          <w:bCs/>
          <w:color w:val="000000"/>
          <w:sz w:val="32"/>
          <w:szCs w:val="32"/>
        </w:rPr>
        <w:t>工作措施：</w:t>
      </w:r>
      <w:r>
        <w:rPr>
          <w:rFonts w:hint="eastAsia" w:ascii="Times New Roman" w:hAnsi="Times New Roman" w:eastAsia="仿宋" w:cs="仿宋_GB2312"/>
          <w:bCs/>
          <w:color w:val="000000"/>
          <w:kern w:val="0"/>
          <w:sz w:val="32"/>
          <w:szCs w:val="32"/>
        </w:rPr>
        <w:t>努力提升实验教学能力，鼓励各实验室进行综合性实验和创新性实验，探索向非专业学生</w:t>
      </w:r>
      <w:r>
        <w:rPr>
          <w:rFonts w:hint="eastAsia" w:ascii="Times New Roman" w:hAnsi="Times New Roman" w:eastAsia="仿宋" w:cs="仿宋_GB2312"/>
          <w:bCs/>
          <w:color w:val="000000"/>
          <w:kern w:val="0"/>
          <w:sz w:val="32"/>
          <w:szCs w:val="32"/>
          <w:lang w:val="en-US" w:eastAsia="zh-CN"/>
        </w:rPr>
        <w:t>举办</w:t>
      </w:r>
      <w:r>
        <w:rPr>
          <w:rFonts w:hint="eastAsia" w:ascii="Times New Roman" w:hAnsi="Times New Roman" w:eastAsia="仿宋" w:cs="仿宋_GB2312"/>
          <w:bCs/>
          <w:color w:val="000000"/>
          <w:kern w:val="0"/>
          <w:sz w:val="32"/>
          <w:szCs w:val="32"/>
        </w:rPr>
        <w:t>科学实验展示。加强机房计算机维护工作，提高工作效率。增加</w:t>
      </w:r>
      <w:r>
        <w:rPr>
          <w:rFonts w:hint="eastAsia" w:ascii="Times New Roman" w:hAnsi="Times New Roman" w:eastAsia="仿宋" w:cs="仿宋_GB2312"/>
          <w:bCs/>
          <w:color w:val="000000"/>
          <w:kern w:val="0"/>
          <w:sz w:val="32"/>
          <w:szCs w:val="32"/>
          <w:lang w:val="en-US" w:eastAsia="zh-CN"/>
        </w:rPr>
        <w:t>面向</w:t>
      </w:r>
      <w:r>
        <w:rPr>
          <w:rFonts w:hint="eastAsia" w:ascii="Times New Roman" w:hAnsi="Times New Roman" w:eastAsia="仿宋" w:cs="仿宋_GB2312"/>
          <w:bCs/>
          <w:color w:val="000000"/>
          <w:kern w:val="0"/>
          <w:sz w:val="32"/>
          <w:szCs w:val="32"/>
        </w:rPr>
        <w:t>教职工的信息化培训频次与内容，提升教职工的计算机使用能力。以读者阅读数据分析为基础，围绕学生专业学习、文学素养和阅读技巧提升等方面，积极</w:t>
      </w:r>
      <w:r>
        <w:rPr>
          <w:rFonts w:hint="eastAsia" w:ascii="Times New Roman" w:hAnsi="Times New Roman" w:eastAsia="仿宋" w:cs="仿宋_GB2312"/>
          <w:bCs/>
          <w:color w:val="000000"/>
          <w:kern w:val="0"/>
          <w:sz w:val="32"/>
          <w:szCs w:val="32"/>
          <w:lang w:val="en-US" w:eastAsia="zh-CN"/>
        </w:rPr>
        <w:t>组织</w:t>
      </w:r>
      <w:r>
        <w:rPr>
          <w:rFonts w:hint="eastAsia" w:ascii="Times New Roman" w:hAnsi="Times New Roman" w:eastAsia="仿宋" w:cs="仿宋_GB2312"/>
          <w:bCs/>
          <w:color w:val="000000"/>
          <w:kern w:val="0"/>
          <w:sz w:val="32"/>
          <w:szCs w:val="32"/>
        </w:rPr>
        <w:t>读书活动。</w:t>
      </w:r>
      <w:r>
        <w:rPr>
          <w:rFonts w:hint="eastAsia" w:ascii="Times New Roman" w:hAnsi="Times New Roman" w:eastAsia="仿宋" w:cs="仿宋_GB2312"/>
          <w:bCs/>
          <w:color w:val="000000"/>
          <w:kern w:val="0"/>
          <w:sz w:val="32"/>
          <w:szCs w:val="32"/>
          <w:lang w:val="en-US" w:eastAsia="zh-CN"/>
        </w:rPr>
        <w:t>开展</w:t>
      </w:r>
      <w:r>
        <w:rPr>
          <w:rFonts w:hint="eastAsia" w:ascii="Times New Roman" w:hAnsi="Times New Roman" w:eastAsia="仿宋" w:cs="仿宋_GB2312"/>
          <w:bCs/>
          <w:color w:val="000000"/>
          <w:kern w:val="0"/>
          <w:sz w:val="32"/>
          <w:szCs w:val="32"/>
        </w:rPr>
        <w:t>图书巡展活动，帮助师生了解最新图书出版信息。举办以“信息检索”为主题的讲座，帮助师生更好地利用中国知网、超星发现等数据库，使读者更加全面地获取文献资料，为学习和科研提供有力支撑。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s="仿宋_GB2312"/>
          <w:bCs/>
          <w:color w:val="000000"/>
          <w:kern w:val="0"/>
          <w:sz w:val="32"/>
          <w:szCs w:val="32"/>
        </w:rPr>
        <w:t>实验管理中心、计算机管理中心、图书馆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三、坚持推进改革发展，提升治理能力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color w:val="000000"/>
          <w:sz w:val="32"/>
          <w:szCs w:val="32"/>
        </w:rPr>
      </w:pPr>
      <w:r>
        <w:rPr>
          <w:rFonts w:hint="eastAsia" w:ascii="Times New Roman" w:hAnsi="Times New Roman" w:eastAsia="仿宋"/>
          <w:b/>
          <w:color w:val="000000"/>
          <w:sz w:val="32"/>
          <w:szCs w:val="32"/>
        </w:rPr>
        <w:t>12. 继续做好转设推进有关工作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color w:val="000000"/>
          <w:sz w:val="32"/>
          <w:szCs w:val="32"/>
        </w:rPr>
        <w:t>目标任务：</w:t>
      </w:r>
      <w:r>
        <w:rPr>
          <w:rFonts w:hint="eastAsia" w:ascii="Times New Roman" w:hAnsi="Times New Roman" w:eastAsia="仿宋"/>
          <w:color w:val="000000"/>
          <w:sz w:val="32"/>
          <w:szCs w:val="32"/>
        </w:rPr>
        <w:t>全力以赴解决学院发展根本问题，积极到上级跑办，继续推动转设</w:t>
      </w:r>
      <w:r>
        <w:rPr>
          <w:rFonts w:hint="eastAsia" w:ascii="Times New Roman" w:hAnsi="Times New Roman" w:eastAsia="仿宋"/>
          <w:color w:val="000000"/>
          <w:sz w:val="32"/>
          <w:szCs w:val="32"/>
          <w:lang w:val="en-US" w:eastAsia="zh-CN"/>
        </w:rPr>
        <w:t>批复</w:t>
      </w:r>
      <w:r>
        <w:rPr>
          <w:rFonts w:hint="eastAsia" w:ascii="Times New Roman" w:hAnsi="Times New Roman"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bCs/>
          <w:color w:val="000000"/>
          <w:sz w:val="32"/>
          <w:szCs w:val="32"/>
        </w:rPr>
        <w:t>工作措施：</w:t>
      </w:r>
      <w:r>
        <w:rPr>
          <w:rFonts w:hint="eastAsia" w:ascii="Times New Roman" w:hAnsi="Times New Roman" w:eastAsia="仿宋"/>
          <w:color w:val="000000"/>
          <w:sz w:val="32"/>
          <w:szCs w:val="32"/>
        </w:rPr>
        <w:t>继续加强与上级教育主管部门的沟通，及时了解、研究教育部关于独立学院转设的最新政策和要求，</w:t>
      </w:r>
      <w:r>
        <w:rPr>
          <w:rFonts w:hint="eastAsia" w:ascii="Times New Roman" w:hAnsi="Times New Roman" w:eastAsia="仿宋"/>
          <w:color w:val="000000"/>
          <w:sz w:val="32"/>
          <w:szCs w:val="32"/>
          <w:lang w:val="en-US" w:eastAsia="zh-CN"/>
        </w:rPr>
        <w:t>积极</w:t>
      </w:r>
      <w:r>
        <w:rPr>
          <w:rFonts w:hint="eastAsia" w:ascii="Times New Roman" w:hAnsi="Times New Roman" w:eastAsia="仿宋"/>
          <w:color w:val="000000"/>
          <w:sz w:val="32"/>
          <w:szCs w:val="32"/>
        </w:rPr>
        <w:t>推动转设</w:t>
      </w:r>
      <w:r>
        <w:rPr>
          <w:rFonts w:hint="eastAsia" w:ascii="Times New Roman" w:hAnsi="Times New Roman" w:eastAsia="仿宋"/>
          <w:color w:val="000000"/>
          <w:sz w:val="32"/>
          <w:szCs w:val="32"/>
          <w:lang w:val="en-US" w:eastAsia="zh-CN"/>
        </w:rPr>
        <w:t>早日批复</w:t>
      </w:r>
      <w:r>
        <w:rPr>
          <w:rFonts w:hint="eastAsia" w:ascii="Times New Roman" w:hAnsi="Times New Roman" w:eastAsia="仿宋"/>
          <w:color w:val="000000"/>
          <w:sz w:val="32"/>
          <w:szCs w:val="32"/>
        </w:rPr>
        <w:t>。做好迎接转设的各项准备工作，维护、落实师生权益，确保人才培养质量，确保学院各项工作平稳有序。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s="仿宋_GB2312"/>
          <w:bCs/>
          <w:color w:val="000000"/>
          <w:kern w:val="0"/>
          <w:sz w:val="32"/>
          <w:szCs w:val="32"/>
        </w:rPr>
        <w:t>学院党委、院务委员会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color w:val="000000"/>
          <w:sz w:val="32"/>
          <w:szCs w:val="32"/>
        </w:rPr>
      </w:pPr>
      <w:r>
        <w:rPr>
          <w:rFonts w:hint="eastAsia" w:ascii="Times New Roman" w:hAnsi="Times New Roman" w:eastAsia="仿宋"/>
          <w:b/>
          <w:color w:val="000000"/>
          <w:sz w:val="32"/>
          <w:szCs w:val="32"/>
        </w:rPr>
        <w:t>13.提高行政管理能力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bCs/>
          <w:color w:val="000000"/>
          <w:sz w:val="32"/>
          <w:szCs w:val="32"/>
        </w:rPr>
        <w:t>目标任务：</w:t>
      </w:r>
      <w:r>
        <w:rPr>
          <w:rFonts w:hint="eastAsia" w:ascii="Times New Roman" w:hAnsi="Times New Roman" w:eastAsia="仿宋"/>
          <w:color w:val="000000"/>
          <w:sz w:val="32"/>
          <w:szCs w:val="32"/>
        </w:rPr>
        <w:t>增强依法治校能力，持续提升管理效能。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bCs/>
          <w:color w:val="000000"/>
          <w:sz w:val="32"/>
          <w:szCs w:val="32"/>
        </w:rPr>
        <w:t>工作措施：</w:t>
      </w:r>
      <w:r>
        <w:rPr>
          <w:rFonts w:hint="eastAsia" w:ascii="Times New Roman" w:hAnsi="Times New Roman" w:eastAsia="仿宋"/>
          <w:color w:val="000000"/>
          <w:sz w:val="32"/>
          <w:szCs w:val="32"/>
        </w:rPr>
        <w:t>坚持以法治思维提高依法治校水平，依照法律法规、规章制度来开展行政管理、维护办学权益。统筹推进基层各单位协调联动，进一步强化岗位服务意识，努力改进行政部门工作作风，加强院领导之间、各部门之间的沟通协调，推动各项工作提质增效。推进合建项目遗留问题的稳妥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color w:val="000000"/>
          <w:sz w:val="32"/>
          <w:szCs w:val="32"/>
        </w:rPr>
      </w:pPr>
      <w:r>
        <w:rPr>
          <w:rFonts w:hint="eastAsia" w:ascii="Times New Roman" w:hAnsi="Times New Roman" w:eastAsia="仿宋"/>
          <w:b/>
          <w:bCs/>
          <w:color w:val="000000"/>
          <w:sz w:val="32"/>
          <w:szCs w:val="32"/>
        </w:rPr>
        <w:t>责任单位：</w:t>
      </w:r>
      <w:r>
        <w:rPr>
          <w:rFonts w:hint="eastAsia" w:ascii="Times New Roman" w:hAnsi="Times New Roman" w:eastAsia="仿宋"/>
          <w:color w:val="000000"/>
          <w:sz w:val="32"/>
          <w:szCs w:val="32"/>
        </w:rPr>
        <w:t>学院办公室、基建与资产管理处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color w:val="000000"/>
          <w:sz w:val="32"/>
          <w:szCs w:val="32"/>
        </w:rPr>
      </w:pPr>
      <w:r>
        <w:rPr>
          <w:rFonts w:hint="eastAsia" w:ascii="Times New Roman" w:hAnsi="Times New Roman" w:eastAsia="仿宋"/>
          <w:b/>
          <w:color w:val="000000"/>
          <w:sz w:val="32"/>
          <w:szCs w:val="32"/>
        </w:rPr>
        <w:t>14.加强人事、财务和资产管理工作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bCs/>
          <w:color w:val="000000"/>
          <w:sz w:val="32"/>
          <w:szCs w:val="32"/>
        </w:rPr>
        <w:t>目标任务：</w:t>
      </w:r>
      <w:r>
        <w:rPr>
          <w:rFonts w:hint="eastAsia" w:ascii="Times New Roman" w:hAnsi="Times New Roman" w:eastAsia="仿宋"/>
          <w:color w:val="000000"/>
          <w:sz w:val="32"/>
          <w:szCs w:val="32"/>
        </w:rPr>
        <w:t>进一步提升人事、财务和资产管理服务水平，为学院高质量发展提供坚强保障。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bCs/>
          <w:color w:val="000000"/>
          <w:sz w:val="32"/>
          <w:szCs w:val="32"/>
        </w:rPr>
        <w:t>工作措施：</w:t>
      </w:r>
      <w:r>
        <w:rPr>
          <w:rFonts w:hint="eastAsia" w:ascii="Times New Roman" w:hAnsi="Times New Roman" w:eastAsia="仿宋"/>
          <w:color w:val="000000"/>
          <w:sz w:val="32"/>
          <w:szCs w:val="32"/>
        </w:rPr>
        <w:t>对人事</w:t>
      </w:r>
      <w:r>
        <w:rPr>
          <w:rFonts w:hint="eastAsia" w:ascii="Times New Roman" w:hAnsi="Times New Roman" w:eastAsia="仿宋"/>
          <w:color w:val="000000"/>
          <w:sz w:val="32"/>
          <w:szCs w:val="32"/>
          <w:lang w:val="en-US" w:eastAsia="zh-CN"/>
        </w:rPr>
        <w:t>工作</w:t>
      </w:r>
      <w:r>
        <w:rPr>
          <w:rFonts w:hint="eastAsia" w:ascii="Times New Roman" w:hAnsi="Times New Roman" w:eastAsia="仿宋"/>
          <w:color w:val="000000"/>
          <w:sz w:val="32"/>
          <w:szCs w:val="32"/>
        </w:rPr>
        <w:t>制度</w:t>
      </w:r>
      <w:r>
        <w:rPr>
          <w:rFonts w:hint="eastAsia" w:ascii="Times New Roman" w:hAnsi="Times New Roman" w:eastAsia="仿宋"/>
          <w:color w:val="000000"/>
          <w:sz w:val="32"/>
          <w:szCs w:val="32"/>
          <w:lang w:val="en-US" w:eastAsia="zh-CN"/>
        </w:rPr>
        <w:t>和政策</w:t>
      </w:r>
      <w:r>
        <w:rPr>
          <w:rFonts w:hint="eastAsia" w:ascii="Times New Roman" w:hAnsi="Times New Roman" w:eastAsia="仿宋"/>
          <w:color w:val="000000"/>
          <w:sz w:val="32"/>
          <w:szCs w:val="32"/>
        </w:rPr>
        <w:t>进行多渠道宣传，利用钉钉工作群等平台做好制度公开，定期到各单位进行调研，针对教职工关注的问题，做好政策解读和意见反馈。做好本年度教职工职称评议推荐评审组织工作。编制学院2023年财务决算，做好2024年预算编制准备工作。通过建立专项钉钉工作群及完善财务报销手册等方式</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加强财务制度的宣传指导，做好教职员工报销前的咨询服务工作，努力实现一次完结财务报销。组织召开新学期采购论证会及业务培训会，对各单位执行采购和验收管理办法情况开展专项检查。对学院各附属单位资产盘点情况进行检查核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color w:val="00000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olor w:val="000000"/>
          <w:sz w:val="32"/>
          <w:szCs w:val="32"/>
        </w:rPr>
        <w:t>行政处、基建与资产管理处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color w:val="000000"/>
          <w:sz w:val="32"/>
          <w:szCs w:val="32"/>
        </w:rPr>
      </w:pPr>
      <w:r>
        <w:rPr>
          <w:rFonts w:hint="eastAsia" w:ascii="Times New Roman" w:hAnsi="Times New Roman" w:eastAsia="仿宋"/>
          <w:b/>
          <w:color w:val="000000"/>
          <w:sz w:val="32"/>
          <w:szCs w:val="32"/>
        </w:rPr>
        <w:t>15.做好校园服务保障工作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bCs/>
          <w:color w:val="000000"/>
          <w:sz w:val="32"/>
          <w:szCs w:val="32"/>
        </w:rPr>
        <w:t>目标任务：</w:t>
      </w:r>
      <w:r>
        <w:rPr>
          <w:rFonts w:hint="eastAsia" w:ascii="Times New Roman" w:hAnsi="Times New Roman" w:eastAsia="仿宋"/>
          <w:color w:val="000000"/>
          <w:sz w:val="32"/>
          <w:szCs w:val="32"/>
        </w:rPr>
        <w:t>切实提升后勤、医疗等保障服务质量，增强师生</w:t>
      </w:r>
      <w:r>
        <w:rPr>
          <w:rFonts w:hint="eastAsia" w:ascii="Times New Roman" w:hAnsi="Times New Roman" w:eastAsia="仿宋"/>
          <w:color w:val="000000"/>
          <w:sz w:val="32"/>
          <w:szCs w:val="32"/>
          <w:lang w:val="en-US" w:eastAsia="zh-CN"/>
        </w:rPr>
        <w:t>的</w:t>
      </w:r>
      <w:r>
        <w:rPr>
          <w:rFonts w:hint="eastAsia" w:ascii="Times New Roman" w:hAnsi="Times New Roman" w:eastAsia="仿宋"/>
          <w:color w:val="000000"/>
          <w:sz w:val="32"/>
          <w:szCs w:val="32"/>
        </w:rPr>
        <w:t>获得感</w:t>
      </w:r>
      <w:r>
        <w:rPr>
          <w:rFonts w:hint="eastAsia" w:ascii="Times New Roman" w:hAnsi="Times New Roman" w:eastAsia="仿宋"/>
          <w:color w:val="000000"/>
          <w:sz w:val="32"/>
          <w:szCs w:val="32"/>
          <w:lang w:val="en-US" w:eastAsia="zh-CN"/>
        </w:rPr>
        <w:t>和</w:t>
      </w:r>
      <w:r>
        <w:rPr>
          <w:rFonts w:hint="eastAsia" w:ascii="Times New Roman" w:hAnsi="Times New Roman" w:eastAsia="仿宋"/>
          <w:color w:val="000000"/>
          <w:sz w:val="32"/>
          <w:szCs w:val="32"/>
        </w:rPr>
        <w:t>幸福感。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bCs/>
          <w:color w:val="000000"/>
          <w:sz w:val="32"/>
          <w:szCs w:val="32"/>
        </w:rPr>
      </w:pPr>
      <w:r>
        <w:rPr>
          <w:rFonts w:hint="eastAsia" w:ascii="Times New Roman" w:hAnsi="Times New Roman" w:eastAsia="仿宋"/>
          <w:b/>
          <w:bCs/>
          <w:color w:val="000000"/>
          <w:sz w:val="32"/>
          <w:szCs w:val="32"/>
        </w:rPr>
        <w:t>工作措施：</w:t>
      </w:r>
      <w:r>
        <w:rPr>
          <w:rFonts w:hint="eastAsia" w:ascii="Times New Roman" w:hAnsi="Times New Roman" w:eastAsia="仿宋"/>
          <w:color w:val="000000"/>
          <w:sz w:val="32"/>
          <w:szCs w:val="32"/>
        </w:rPr>
        <w:t>建立健全后勤服务质量巡查反馈机制，定期到基层单位走访调研，了解基层单位需求，高效、负责地解决实际问题，提升服务水平。</w:t>
      </w:r>
      <w:r>
        <w:rPr>
          <w:rFonts w:hint="eastAsia" w:ascii="Times New Roman" w:hAnsi="Times New Roman" w:eastAsia="仿宋"/>
          <w:color w:val="000000"/>
          <w:sz w:val="32"/>
          <w:szCs w:val="32"/>
          <w:lang w:val="en-US" w:eastAsia="zh-CN"/>
        </w:rPr>
        <w:t>畅通</w:t>
      </w:r>
      <w:r>
        <w:rPr>
          <w:rFonts w:hint="eastAsia" w:ascii="Times New Roman" w:hAnsi="Times New Roman" w:eastAsia="仿宋"/>
          <w:color w:val="000000"/>
          <w:sz w:val="32"/>
          <w:szCs w:val="32"/>
        </w:rPr>
        <w:t>与就餐师生的沟通</w:t>
      </w:r>
      <w:r>
        <w:rPr>
          <w:rFonts w:hint="eastAsia" w:ascii="Times New Roman" w:hAnsi="Times New Roman" w:eastAsia="仿宋"/>
          <w:color w:val="000000"/>
          <w:sz w:val="32"/>
          <w:szCs w:val="32"/>
          <w:lang w:val="en-US" w:eastAsia="zh-CN"/>
        </w:rPr>
        <w:t>渠道</w:t>
      </w:r>
      <w:r>
        <w:rPr>
          <w:rFonts w:hint="eastAsia" w:ascii="Times New Roman" w:hAnsi="Times New Roman" w:eastAsia="仿宋"/>
          <w:color w:val="000000"/>
          <w:sz w:val="32"/>
          <w:szCs w:val="32"/>
        </w:rPr>
        <w:t>，通过定期与师生座谈、邀请学生参观后厨等形式</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加强与师生交流。发挥食堂公众号的宣传阵地作用，积极主动处理师生投诉，坚持从源头解决问题。组织各食堂开展“搬家式”大扫除、进行灭鼠灭蟑及场所环境消杀工作，营造安心放心的就餐环境。督促各食堂做到“日管控、周排查、月调度”，深入贯彻食品安全“四个最严”要求，坚持把食品安全作为食堂管理工作的生命线，有力保障广大师生“舌尖上的安全”。在校园安装充电桩，为师生电动车辆充电提供便利。于2024年春季开学前，实现校园通信网络及信号全面达到5G覆盖，并逐步完成</w:t>
      </w:r>
      <w:r>
        <w:rPr>
          <w:rFonts w:hint="eastAsia" w:ascii="Times New Roman" w:hAnsi="Times New Roman" w:eastAsia="仿宋"/>
          <w:color w:val="000000"/>
          <w:sz w:val="32"/>
          <w:szCs w:val="32"/>
          <w:lang w:val="en-US" w:eastAsia="zh-CN"/>
        </w:rPr>
        <w:t>学生宿舍</w:t>
      </w:r>
      <w:r>
        <w:rPr>
          <w:rFonts w:hint="eastAsia" w:ascii="Times New Roman" w:hAnsi="Times New Roman" w:eastAsia="仿宋"/>
          <w:color w:val="000000"/>
          <w:sz w:val="32"/>
          <w:szCs w:val="32"/>
        </w:rPr>
        <w:t>通信网络的光改工程，提升网络传输速度。加强传染病防控知识教育，提升主动预防的能力，保障师生身体健康。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olor w:val="000000"/>
          <w:sz w:val="32"/>
          <w:szCs w:val="32"/>
        </w:rPr>
        <w:t>后勤处、基建与资产管理处、门诊部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color w:val="000000"/>
          <w:sz w:val="32"/>
          <w:szCs w:val="32"/>
        </w:rPr>
      </w:pPr>
      <w:r>
        <w:rPr>
          <w:rFonts w:hint="eastAsia" w:ascii="Times New Roman" w:hAnsi="Times New Roman" w:eastAsia="仿宋"/>
          <w:b/>
          <w:color w:val="000000"/>
          <w:sz w:val="32"/>
          <w:szCs w:val="32"/>
        </w:rPr>
        <w:t>16.维护校园安全稳定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cs="仿宋_GB2312"/>
          <w:b/>
          <w:bCs/>
          <w:color w:val="000000"/>
          <w:kern w:val="0"/>
          <w:sz w:val="32"/>
          <w:szCs w:val="32"/>
        </w:rPr>
        <w:t>目标任务：</w:t>
      </w:r>
      <w:r>
        <w:rPr>
          <w:rFonts w:hint="eastAsia" w:ascii="Times New Roman" w:hAnsi="Times New Roman" w:eastAsia="仿宋"/>
          <w:color w:val="000000"/>
          <w:sz w:val="32"/>
          <w:szCs w:val="32"/>
        </w:rPr>
        <w:t>做好安全宣传教育，紧盯各类安全问题，确保校园安全稳定。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cs="仿宋_GB2312"/>
          <w:b/>
          <w:bCs/>
          <w:color w:val="000000"/>
          <w:kern w:val="0"/>
          <w:sz w:val="32"/>
          <w:szCs w:val="32"/>
        </w:rPr>
        <w:t>工作措施：</w:t>
      </w:r>
      <w:r>
        <w:rPr>
          <w:rFonts w:hint="eastAsia" w:ascii="Times New Roman" w:hAnsi="Times New Roman" w:eastAsia="仿宋"/>
          <w:color w:val="000000"/>
          <w:sz w:val="32"/>
          <w:szCs w:val="32"/>
        </w:rPr>
        <w:t>坚持“生命至上、人民至上”的理念，持续推进“知识守护生命”校园安全专题教育和防范电信诈骗教育。把新学期第一周定为“安全教育周”，紧盯入学新生等重点群体，宣传普及防范</w:t>
      </w:r>
      <w:r>
        <w:rPr>
          <w:rFonts w:hint="eastAsia" w:ascii="Times New Roman" w:hAnsi="Times New Roman" w:eastAsia="仿宋"/>
          <w:color w:val="000000"/>
          <w:sz w:val="32"/>
          <w:szCs w:val="32"/>
          <w:lang w:val="en-US" w:eastAsia="zh-CN"/>
        </w:rPr>
        <w:t>电信</w:t>
      </w:r>
      <w:r>
        <w:rPr>
          <w:rFonts w:hint="eastAsia" w:ascii="Times New Roman" w:hAnsi="Times New Roman" w:eastAsia="仿宋"/>
          <w:color w:val="000000"/>
          <w:sz w:val="32"/>
          <w:szCs w:val="32"/>
        </w:rPr>
        <w:t>诈骗、火灾、交通事故、食物中毒、校园欺凌、人身侵害等方面的安全知识和技能，切实增强广大师生安全意识和自我保护能力。邀请专业人员</w:t>
      </w:r>
      <w:r>
        <w:rPr>
          <w:rFonts w:hint="eastAsia" w:ascii="Times New Roman" w:hAnsi="Times New Roman" w:eastAsia="仿宋"/>
          <w:color w:val="000000"/>
          <w:sz w:val="32"/>
          <w:szCs w:val="32"/>
          <w:lang w:val="en-US" w:eastAsia="zh-CN"/>
        </w:rPr>
        <w:t>进校</w:t>
      </w:r>
      <w:r>
        <w:rPr>
          <w:rFonts w:hint="eastAsia" w:ascii="Times New Roman" w:hAnsi="Times New Roman" w:eastAsia="仿宋"/>
          <w:color w:val="000000"/>
          <w:sz w:val="32"/>
          <w:szCs w:val="32"/>
        </w:rPr>
        <w:t>，开展法制教育、消防知识讲座、应急疏散演练、急救知识技能培训等宣教活动。继续加强校门管理，做好校门智能通道建设。提升校内治安巡逻质量，</w:t>
      </w:r>
      <w:r>
        <w:rPr>
          <w:rFonts w:hint="eastAsia" w:ascii="Times New Roman" w:hAnsi="Times New Roman" w:eastAsia="仿宋"/>
          <w:color w:val="000000"/>
          <w:sz w:val="32"/>
          <w:szCs w:val="32"/>
          <w:lang w:val="en-US" w:eastAsia="zh-CN"/>
        </w:rPr>
        <w:t>补充</w:t>
      </w:r>
      <w:r>
        <w:rPr>
          <w:rFonts w:hint="eastAsia" w:ascii="Times New Roman" w:hAnsi="Times New Roman" w:eastAsia="仿宋"/>
          <w:color w:val="000000"/>
          <w:sz w:val="32"/>
          <w:szCs w:val="32"/>
        </w:rPr>
        <w:t>电子巡更设备。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ascii="Times New Roman" w:hAnsi="Times New Roman" w:eastAsia="仿宋" w:cs="仿宋_GB2312"/>
          <w:b/>
          <w:bCs/>
          <w:color w:val="000000"/>
          <w:sz w:val="32"/>
          <w:szCs w:val="32"/>
        </w:rPr>
        <w:t>责任单位：</w:t>
      </w:r>
      <w:r>
        <w:rPr>
          <w:rFonts w:hint="eastAsia" w:ascii="Times New Roman" w:hAnsi="Times New Roman" w:eastAsia="仿宋"/>
          <w:color w:val="000000"/>
          <w:sz w:val="32"/>
          <w:szCs w:val="32"/>
        </w:rPr>
        <w:t>安全工作处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color w:val="000000"/>
          <w:sz w:val="32"/>
          <w:szCs w:val="32"/>
        </w:rPr>
      </w:pPr>
      <w:r>
        <w:rPr>
          <w:rFonts w:hint="eastAsia" w:ascii="Times New Roman" w:hAnsi="Times New Roman" w:eastAsia="仿宋"/>
          <w:b/>
          <w:color w:val="000000"/>
          <w:sz w:val="32"/>
          <w:szCs w:val="32"/>
        </w:rPr>
        <w:t>17.推动附属幼儿园、汇华小学发展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bCs/>
          <w:color w:val="000000"/>
          <w:sz w:val="32"/>
          <w:szCs w:val="32"/>
        </w:rPr>
        <w:t>目标任务：</w:t>
      </w:r>
      <w:r>
        <w:rPr>
          <w:rFonts w:hint="eastAsia" w:ascii="Times New Roman" w:hAnsi="Times New Roman" w:eastAsia="仿宋"/>
          <w:color w:val="000000"/>
          <w:sz w:val="32"/>
          <w:szCs w:val="32"/>
        </w:rPr>
        <w:t>加强对附属单位的管理、监督、指导力度，提升附属单位品牌质量。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32"/>
          <w:szCs w:val="32"/>
        </w:rPr>
      </w:pPr>
      <w:r>
        <w:rPr>
          <w:rFonts w:hint="eastAsia" w:ascii="Times New Roman" w:hAnsi="Times New Roman" w:eastAsia="仿宋"/>
          <w:b/>
          <w:bCs/>
          <w:color w:val="000000"/>
          <w:sz w:val="32"/>
          <w:szCs w:val="32"/>
        </w:rPr>
        <w:t>工作措施</w:t>
      </w:r>
      <w:r>
        <w:rPr>
          <w:rFonts w:hint="eastAsia" w:ascii="Times New Roman" w:hAnsi="Times New Roman" w:eastAsia="仿宋"/>
          <w:color w:val="000000"/>
          <w:sz w:val="32"/>
          <w:szCs w:val="32"/>
        </w:rPr>
        <w:t>：继续推进内涵建设，</w:t>
      </w:r>
      <w:r>
        <w:rPr>
          <w:rFonts w:hint="eastAsia" w:ascii="Times New Roman" w:hAnsi="Times New Roman" w:eastAsia="仿宋"/>
          <w:color w:val="000000"/>
          <w:sz w:val="32"/>
          <w:szCs w:val="32"/>
          <w:lang w:val="en-US" w:eastAsia="zh-CN"/>
        </w:rPr>
        <w:t>提升办学声誉；</w:t>
      </w:r>
      <w:r>
        <w:rPr>
          <w:rFonts w:hint="eastAsia" w:ascii="Times New Roman" w:hAnsi="Times New Roman" w:eastAsia="仿宋"/>
          <w:color w:val="000000"/>
          <w:sz w:val="32"/>
          <w:szCs w:val="32"/>
        </w:rPr>
        <w:t>紧跟国家政策，</w:t>
      </w:r>
      <w:r>
        <w:rPr>
          <w:rFonts w:hint="eastAsia" w:ascii="Times New Roman" w:hAnsi="Times New Roman" w:eastAsia="仿宋"/>
          <w:color w:val="000000"/>
          <w:sz w:val="32"/>
          <w:szCs w:val="32"/>
          <w:lang w:val="en-US" w:eastAsia="zh-CN"/>
        </w:rPr>
        <w:t>谋划发展道路</w:t>
      </w:r>
      <w:r>
        <w:rPr>
          <w:rFonts w:hint="eastAsia" w:ascii="Times New Roman" w:hAnsi="Times New Roman" w:eastAsia="仿宋"/>
          <w:color w:val="000000"/>
          <w:sz w:val="32"/>
          <w:szCs w:val="32"/>
        </w:rPr>
        <w:t>，推动</w:t>
      </w:r>
      <w:r>
        <w:rPr>
          <w:rFonts w:hint="eastAsia" w:ascii="Times New Roman" w:hAnsi="Times New Roman" w:eastAsia="仿宋"/>
          <w:color w:val="000000"/>
          <w:sz w:val="32"/>
          <w:szCs w:val="32"/>
          <w:lang w:val="en-US" w:eastAsia="zh-CN"/>
        </w:rPr>
        <w:t>附属单位</w:t>
      </w:r>
      <w:r>
        <w:rPr>
          <w:rFonts w:hint="eastAsia" w:ascii="Times New Roman" w:hAnsi="Times New Roman" w:eastAsia="仿宋"/>
          <w:color w:val="000000"/>
          <w:sz w:val="32"/>
          <w:szCs w:val="32"/>
        </w:rPr>
        <w:t>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color w:val="000000"/>
          <w:sz w:val="28"/>
          <w:szCs w:val="32"/>
        </w:rPr>
      </w:pPr>
      <w:r>
        <w:rPr>
          <w:rFonts w:hint="eastAsia" w:ascii="Times New Roman" w:hAnsi="Times New Roman" w:eastAsia="仿宋"/>
          <w:b/>
          <w:bCs/>
          <w:color w:val="000000"/>
          <w:sz w:val="32"/>
          <w:szCs w:val="32"/>
        </w:rPr>
        <w:t>责任单位：</w:t>
      </w:r>
      <w:r>
        <w:rPr>
          <w:rFonts w:hint="eastAsia" w:ascii="Times New Roman" w:hAnsi="Times New Roman" w:eastAsia="仿宋"/>
          <w:color w:val="000000"/>
          <w:sz w:val="32"/>
          <w:szCs w:val="32"/>
        </w:rPr>
        <w:t>附属幼儿园、汇华小学</w:t>
      </w:r>
    </w:p>
    <w:p>
      <w:pPr>
        <w:spacing w:line="560" w:lineRule="exact"/>
        <w:ind w:firstLine="560" w:firstLineChars="200"/>
        <w:rPr>
          <w:rFonts w:ascii="Times New Roman" w:hAnsi="Times New Roman" w:eastAsia="仿宋"/>
          <w:color w:val="000000"/>
          <w:sz w:val="28"/>
          <w:szCs w:val="32"/>
        </w:rPr>
      </w:pPr>
    </w:p>
    <w:p>
      <w:pPr>
        <w:pStyle w:val="12"/>
        <w:spacing w:line="560" w:lineRule="exact"/>
        <w:ind w:left="0" w:firstLine="0"/>
        <w:rPr>
          <w:rFonts w:ascii="Times New Roman" w:eastAsia="仿宋" w:cs="仿宋"/>
          <w:bCs/>
          <w:color w:val="000000"/>
          <w:kern w:val="0"/>
          <w:sz w:val="28"/>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619" w:firstLineChars="1131"/>
        <w:textAlignment w:val="auto"/>
        <w:rPr>
          <w:rFonts w:ascii="Times New Roman" w:hAnsi="Times New Roman" w:eastAsia="仿宋_GB2312" w:cs="仿宋_GB2312"/>
          <w:bCs/>
          <w:color w:val="000000"/>
          <w:kern w:val="0"/>
          <w:sz w:val="32"/>
          <w:szCs w:val="32"/>
        </w:rPr>
      </w:pPr>
      <w:r>
        <w:rPr>
          <w:rFonts w:hint="eastAsia" w:ascii="Times New Roman" w:hAnsi="Times New Roman" w:eastAsia="仿宋_GB2312" w:cs="仿宋_GB2312"/>
          <w:bCs/>
          <w:color w:val="000000"/>
          <w:kern w:val="0"/>
          <w:sz w:val="32"/>
          <w:szCs w:val="32"/>
        </w:rPr>
        <w:t>中共河北师范大学汇华学院委员会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635" w:firstLineChars="742"/>
        <w:textAlignment w:val="auto"/>
        <w:rPr>
          <w:rFonts w:ascii="Times New Roman" w:hAnsi="Times New Roman" w:eastAsia="仿宋_GB2312" w:cs="仿宋_GB2312"/>
          <w:bCs/>
          <w:color w:val="000000"/>
          <w:kern w:val="0"/>
          <w:sz w:val="32"/>
          <w:szCs w:val="32"/>
        </w:rPr>
      </w:pPr>
      <w:r>
        <w:rPr>
          <w:rFonts w:hint="eastAsia" w:ascii="Times New Roman" w:hAnsi="Times New Roman" w:eastAsia="仿宋_GB2312" w:cs="仿宋_GB2312"/>
          <w:bCs/>
          <w:color w:val="000000"/>
          <w:spacing w:val="85"/>
          <w:kern w:val="0"/>
          <w:sz w:val="32"/>
          <w:szCs w:val="32"/>
        </w:rPr>
        <w:t>河北师范</w:t>
      </w:r>
      <w:r>
        <w:rPr>
          <w:rFonts w:hint="eastAsia" w:ascii="Times New Roman" w:hAnsi="Times New Roman" w:eastAsia="仿宋_GB2312" w:cs="仿宋_GB2312"/>
          <w:bCs/>
          <w:color w:val="000000"/>
          <w:spacing w:val="91"/>
          <w:kern w:val="0"/>
          <w:sz w:val="32"/>
          <w:szCs w:val="32"/>
        </w:rPr>
        <w:t>大学汇华</w:t>
      </w:r>
      <w:r>
        <w:rPr>
          <w:rFonts w:hint="eastAsia" w:ascii="Times New Roman" w:hAnsi="Times New Roman" w:eastAsia="仿宋_GB2312" w:cs="仿宋_GB2312"/>
          <w:bCs/>
          <w:color w:val="000000"/>
          <w:spacing w:val="85"/>
          <w:kern w:val="0"/>
          <w:sz w:val="32"/>
          <w:szCs w:val="32"/>
        </w:rPr>
        <w:t>学院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918" w:firstLineChars="1537"/>
        <w:textAlignment w:val="auto"/>
        <w:rPr>
          <w:rFonts w:hint="eastAsia" w:ascii="Times New Roman" w:hAnsi="Times New Roman" w:eastAsia="仿宋_GB2312" w:cs="仿宋_GB2312"/>
          <w:bCs/>
          <w:color w:val="000000"/>
          <w:kern w:val="0"/>
          <w:sz w:val="32"/>
          <w:szCs w:val="32"/>
        </w:rPr>
      </w:pPr>
      <w:r>
        <w:rPr>
          <w:rFonts w:hint="eastAsia" w:ascii="Times New Roman" w:hAnsi="Times New Roman" w:eastAsia="仿宋_GB2312" w:cs="仿宋_GB2312"/>
          <w:bCs/>
          <w:color w:val="000000"/>
          <w:kern w:val="0"/>
          <w:sz w:val="32"/>
          <w:szCs w:val="32"/>
        </w:rPr>
        <w:t>202</w:t>
      </w:r>
      <w:r>
        <w:rPr>
          <w:rFonts w:hint="eastAsia" w:ascii="Times New Roman" w:hAnsi="Times New Roman" w:eastAsia="仿宋_GB2312" w:cs="仿宋_GB2312"/>
          <w:bCs/>
          <w:color w:val="000000"/>
          <w:kern w:val="0"/>
          <w:sz w:val="32"/>
          <w:szCs w:val="32"/>
          <w:lang w:val="en-US" w:eastAsia="zh-CN"/>
        </w:rPr>
        <w:t>3</w:t>
      </w:r>
      <w:r>
        <w:rPr>
          <w:rFonts w:hint="eastAsia" w:ascii="Times New Roman" w:hAnsi="Times New Roman" w:eastAsia="仿宋_GB2312" w:cs="仿宋_GB2312"/>
          <w:bCs/>
          <w:color w:val="000000"/>
          <w:kern w:val="0"/>
          <w:sz w:val="32"/>
          <w:szCs w:val="32"/>
        </w:rPr>
        <w:t>年</w:t>
      </w:r>
      <w:r>
        <w:rPr>
          <w:rFonts w:hint="eastAsia" w:ascii="Times New Roman" w:hAnsi="Times New Roman" w:eastAsia="仿宋_GB2312" w:cs="仿宋_GB2312"/>
          <w:bCs/>
          <w:color w:val="000000"/>
          <w:kern w:val="0"/>
          <w:sz w:val="32"/>
          <w:szCs w:val="32"/>
          <w:lang w:val="en-US" w:eastAsia="zh-CN"/>
        </w:rPr>
        <w:t>9</w:t>
      </w:r>
      <w:r>
        <w:rPr>
          <w:rFonts w:hint="eastAsia" w:ascii="Times New Roman" w:hAnsi="Times New Roman" w:eastAsia="仿宋_GB2312" w:cs="仿宋_GB2312"/>
          <w:bCs/>
          <w:color w:val="000000"/>
          <w:kern w:val="0"/>
          <w:sz w:val="32"/>
          <w:szCs w:val="32"/>
        </w:rPr>
        <w:t>月</w:t>
      </w:r>
      <w:r>
        <w:rPr>
          <w:rFonts w:hint="eastAsia" w:ascii="Times New Roman" w:hAnsi="Times New Roman" w:eastAsia="仿宋_GB2312" w:cs="仿宋_GB2312"/>
          <w:bCs/>
          <w:color w:val="000000"/>
          <w:kern w:val="0"/>
          <w:sz w:val="32"/>
          <w:szCs w:val="32"/>
          <w:lang w:val="en-US" w:eastAsia="zh-CN"/>
        </w:rPr>
        <w:t>9</w:t>
      </w:r>
      <w:r>
        <w:rPr>
          <w:rFonts w:hint="eastAsia" w:ascii="Times New Roman" w:hAnsi="Times New Roman" w:eastAsia="仿宋_GB2312" w:cs="仿宋_GB2312"/>
          <w:bCs/>
          <w:color w:val="000000"/>
          <w:kern w:val="0"/>
          <w:sz w:val="32"/>
          <w:szCs w:val="32"/>
        </w:rPr>
        <w:t>日</w:t>
      </w:r>
    </w:p>
    <w:p>
      <w:pPr>
        <w:tabs>
          <w:tab w:val="left" w:pos="540"/>
        </w:tabs>
        <w:adjustRightInd w:val="0"/>
        <w:snapToGrid w:val="0"/>
        <w:spacing w:line="600" w:lineRule="exact"/>
        <w:rPr>
          <w:rFonts w:hint="eastAsia" w:ascii="Times New Roman" w:hAnsi="Times New Roman" w:eastAsia="仿宋_GB2312"/>
          <w:kern w:val="0"/>
          <w:sz w:val="32"/>
          <w:szCs w:val="32"/>
        </w:rPr>
      </w:pPr>
    </w:p>
    <w:p>
      <w:pPr>
        <w:tabs>
          <w:tab w:val="left" w:pos="540"/>
        </w:tabs>
        <w:adjustRightInd w:val="0"/>
        <w:snapToGrid w:val="0"/>
        <w:spacing w:line="600" w:lineRule="exact"/>
        <w:rPr>
          <w:rFonts w:hint="eastAsia" w:ascii="Times New Roman" w:hAnsi="Times New Roman" w:eastAsia="仿宋_GB2312"/>
          <w:kern w:val="0"/>
          <w:sz w:val="32"/>
          <w:szCs w:val="32"/>
        </w:rPr>
      </w:pPr>
    </w:p>
    <w:p>
      <w:pPr>
        <w:spacing w:line="360" w:lineRule="auto"/>
        <w:jc w:val="center"/>
        <w:rPr>
          <w:rFonts w:hint="eastAsia" w:ascii="Times New Roman" w:hAnsi="Times New Roman" w:eastAsia="仿宋_GB2312" w:cs="仿宋_GB2312"/>
          <w:bCs/>
          <w:color w:val="000000"/>
          <w:kern w:val="0"/>
          <w:sz w:val="32"/>
          <w:szCs w:val="32"/>
        </w:rPr>
      </w:pPr>
      <w: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332105</wp:posOffset>
                </wp:positionV>
                <wp:extent cx="5734685" cy="10795"/>
                <wp:effectExtent l="0" t="4445" r="18415" b="13335"/>
                <wp:wrapNone/>
                <wp:docPr id="13" name="任意多边形 13"/>
                <wp:cNvGraphicFramePr/>
                <a:graphic xmlns:a="http://schemas.openxmlformats.org/drawingml/2006/main">
                  <a:graphicData uri="http://schemas.microsoft.com/office/word/2010/wordprocessingShape">
                    <wps:wsp>
                      <wps:cNvSpPr/>
                      <wps:spPr>
                        <a:xfrm>
                          <a:off x="0" y="0"/>
                          <a:ext cx="5734685" cy="10795"/>
                        </a:xfrm>
                        <a:custGeom>
                          <a:avLst/>
                          <a:gdLst/>
                          <a:ahLst/>
                          <a:cxnLst/>
                          <a:pathLst>
                            <a:path w="9031" h="17">
                              <a:moveTo>
                                <a:pt x="0" y="17"/>
                              </a:moveTo>
                              <a:lnTo>
                                <a:pt x="9031" y="0"/>
                              </a:lnTo>
                            </a:path>
                          </a:pathLst>
                        </a:custGeom>
                        <a:noFill/>
                        <a:ln w="4445" cap="flat" cmpd="sng">
                          <a:solidFill>
                            <a:srgbClr val="000000"/>
                          </a:solidFill>
                          <a:prstDash val="solid"/>
                          <a:headEnd type="none" w="med" len="med"/>
                          <a:tailEnd type="none" w="med" len="med"/>
                        </a:ln>
                        <a:effectLst/>
                      </wps:spPr>
                      <wps:bodyPr vert="horz" anchor="t" upright="1"/>
                    </wps:wsp>
                  </a:graphicData>
                </a:graphic>
              </wp:anchor>
            </w:drawing>
          </mc:Choice>
          <mc:Fallback>
            <w:pict>
              <v:shape id="_x0000_s1026" o:spid="_x0000_s1026" o:spt="100" style="position:absolute;left:0pt;margin-left:-4.65pt;margin-top:26.15pt;height:0.85pt;width:451.55pt;z-index:251661312;mso-width-relative:page;mso-height-relative:page;" filled="f" stroked="t" coordsize="9031,17" o:gfxdata="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ta4BtQAAAAIAQAADwAAAAAAAAABACAA&#10;AAAiAAAAZHJzL2Rvd25yZXYueG1sUEsBAhQAFAAAAAgAh07iQOeP2N5KAgAAtQQAAA4AAAAAAAAA&#10;AQAgAAAAIwEAAGRycy9lMm9Eb2MueG1sUEsFBgAAAAAGAAYAWQEAAN8FAAAAAA==&#10;" path="m0,17l9031,0e">
                <v:fill on="f" focussize="0,0"/>
                <v:stroke weight="0.35pt"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37465</wp:posOffset>
                </wp:positionV>
                <wp:extent cx="5744210"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744210" cy="9525"/>
                        </a:xfrm>
                        <a:custGeom>
                          <a:avLst/>
                          <a:gdLst/>
                          <a:ahLst/>
                          <a:cxnLst/>
                          <a:pathLst>
                            <a:path w="9046" h="15">
                              <a:moveTo>
                                <a:pt x="0" y="15"/>
                              </a:moveTo>
                              <a:lnTo>
                                <a:pt x="9046" y="0"/>
                              </a:lnTo>
                            </a:path>
                          </a:pathLst>
                        </a:custGeom>
                        <a:noFill/>
                        <a:ln w="4445" cap="flat" cmpd="sng">
                          <a:solidFill>
                            <a:srgbClr val="000000"/>
                          </a:solidFill>
                          <a:prstDash val="solid"/>
                          <a:headEnd type="none" w="med" len="med"/>
                          <a:tailEnd type="none" w="med" len="med"/>
                        </a:ln>
                        <a:effectLst/>
                      </wps:spPr>
                      <wps:bodyPr vert="horz" anchor="t" upright="1"/>
                    </wps:wsp>
                  </a:graphicData>
                </a:graphic>
              </wp:anchor>
            </w:drawing>
          </mc:Choice>
          <mc:Fallback>
            <w:pict>
              <v:shape id="_x0000_s1026" o:spid="_x0000_s1026" o:spt="100" style="position:absolute;left:0pt;margin-left:-5.05pt;margin-top:2.95pt;height:0.75pt;width:452.3pt;z-index:251660288;mso-width-relative:page;mso-height-relative:page;" filled="f" stroked="t" coordsize="9046,15" o:gfxdata="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J41PLXAAAABwEAAA8AAAAAAAAAAQAg&#10;AAAAIgAAAGRycy9kb3ducmV2LnhtbFBLAQIUABQAAAAIAIdO4kDUx4zMSAIAALQEAAAOAAAAAAAA&#10;AAEAIAAAACYBAABkcnMvZTJvRG9jLnhtbFBLBQYAAAAABgAGAFkBAADgBQAAAAA=&#10;" path="m0,15l9046,0e">
                <v:fill on="f" focussize="0,0"/>
                <v:stroke weight="0.35pt" color="#000000" joinstyle="round"/>
                <v:imagedata o:title=""/>
                <o:lock v:ext="edit" aspectratio="f"/>
              </v:shape>
            </w:pict>
          </mc:Fallback>
        </mc:AlternateContent>
      </w:r>
      <w:r>
        <w:rPr>
          <w:rFonts w:hint="eastAsia" w:ascii="Times New Roman" w:hAnsi="Times New Roman" w:eastAsia="仿宋_GB2312"/>
          <w:sz w:val="28"/>
          <w:szCs w:val="28"/>
        </w:rPr>
        <w:t>学院办公室</w:t>
      </w:r>
      <w:r>
        <w:rPr>
          <w:rFonts w:ascii="Times New Roman" w:hAnsi="Times New Roman" w:eastAsia="仿宋_GB2312"/>
          <w:szCs w:val="21"/>
        </w:rPr>
        <w:t xml:space="preserve">                                         </w:t>
      </w:r>
      <w:r>
        <w:rPr>
          <w:rFonts w:hint="eastAsia" w:ascii="Times New Roman" w:hAnsi="Times New Roman" w:eastAsia="仿宋_GB2312"/>
          <w:szCs w:val="21"/>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9</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日印发</w:t>
      </w:r>
    </w:p>
    <w:sectPr>
      <w:footerReference r:id="rId4" w:type="default"/>
      <w:pgSz w:w="11906" w:h="16838"/>
      <w:pgMar w:top="1814" w:right="1531" w:bottom="1531"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WMzYzYzZDUxY2E0ZmFmMTU2NGI1MTUyZmFjODYifQ=="/>
  </w:docVars>
  <w:rsids>
    <w:rsidRoot w:val="6D4A65AE"/>
    <w:rsid w:val="00184D37"/>
    <w:rsid w:val="004135EE"/>
    <w:rsid w:val="004F7C4B"/>
    <w:rsid w:val="007203DB"/>
    <w:rsid w:val="007D3AE5"/>
    <w:rsid w:val="00817418"/>
    <w:rsid w:val="00836761"/>
    <w:rsid w:val="008F6EB5"/>
    <w:rsid w:val="00D2455F"/>
    <w:rsid w:val="00EC18BE"/>
    <w:rsid w:val="0D8F1DE5"/>
    <w:rsid w:val="31630086"/>
    <w:rsid w:val="32ED6D44"/>
    <w:rsid w:val="34720C63"/>
    <w:rsid w:val="353A6944"/>
    <w:rsid w:val="37700053"/>
    <w:rsid w:val="3D9220C8"/>
    <w:rsid w:val="46884AAA"/>
    <w:rsid w:val="53F52C1E"/>
    <w:rsid w:val="55780101"/>
    <w:rsid w:val="57831133"/>
    <w:rsid w:val="5B077611"/>
    <w:rsid w:val="62856942"/>
    <w:rsid w:val="65075DFE"/>
    <w:rsid w:val="6573449F"/>
    <w:rsid w:val="6D4A65AE"/>
    <w:rsid w:val="6D984C33"/>
    <w:rsid w:val="72E351F6"/>
    <w:rsid w:val="7FBA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qFormat/>
    <w:uiPriority w:val="0"/>
    <w:pPr>
      <w:tabs>
        <w:tab w:val="left" w:pos="6603"/>
      </w:tabs>
      <w:jc w:val="center"/>
    </w:pPr>
    <w:rPr>
      <w:rFonts w:ascii="Calibri" w:hAnsi="Calibri"/>
      <w:b/>
      <w:bCs/>
      <w:color w:val="FF0000"/>
      <w:w w:val="66"/>
      <w:sz w:val="114"/>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adjustRightInd w:val="0"/>
      <w:snapToGrid w:val="0"/>
      <w:jc w:val="center"/>
      <w:outlineLvl w:val="0"/>
    </w:pPr>
    <w:rPr>
      <w:rFonts w:ascii="Cambria" w:hAnsi="Cambria" w:eastAsia="方正小标宋简体"/>
      <w:bCs/>
      <w:sz w:val="36"/>
      <w:szCs w:val="32"/>
    </w:rPr>
  </w:style>
  <w:style w:type="paragraph" w:styleId="8">
    <w:name w:val="annotation subject"/>
    <w:basedOn w:val="2"/>
    <w:next w:val="2"/>
    <w:link w:val="16"/>
    <w:qFormat/>
    <w:uiPriority w:val="0"/>
    <w:rPr>
      <w:b/>
      <w:bCs/>
    </w:rPr>
  </w:style>
  <w:style w:type="character" w:styleId="11">
    <w:name w:val="annotation reference"/>
    <w:basedOn w:val="10"/>
    <w:qFormat/>
    <w:uiPriority w:val="0"/>
    <w:rPr>
      <w:sz w:val="21"/>
      <w:szCs w:val="21"/>
    </w:rPr>
  </w:style>
  <w:style w:type="paragraph" w:customStyle="1" w:styleId="12">
    <w:name w:val="正文1"/>
    <w:basedOn w:val="1"/>
    <w:qFormat/>
    <w:uiPriority w:val="0"/>
    <w:pPr>
      <w:adjustRightInd w:val="0"/>
      <w:spacing w:line="318" w:lineRule="atLeast"/>
      <w:ind w:left="369" w:firstLine="369"/>
      <w:textAlignment w:val="baseline"/>
    </w:pPr>
    <w:rPr>
      <w:rFonts w:ascii="宋体" w:hAnsi="Times New Roman"/>
      <w:szCs w:val="20"/>
    </w:rPr>
  </w:style>
  <w:style w:type="paragraph" w:customStyle="1" w:styleId="13">
    <w:name w:val="双代会标题格式"/>
    <w:basedOn w:val="7"/>
    <w:qFormat/>
    <w:uiPriority w:val="0"/>
    <w:rPr>
      <w:rFonts w:eastAsia="方正小标宋_GBK"/>
    </w:rPr>
  </w:style>
  <w:style w:type="character" w:customStyle="1" w:styleId="14">
    <w:name w:val="批注框文本 Char"/>
    <w:basedOn w:val="10"/>
    <w:link w:val="4"/>
    <w:qFormat/>
    <w:uiPriority w:val="0"/>
    <w:rPr>
      <w:rFonts w:ascii="Calibri" w:hAnsi="Calibri"/>
      <w:kern w:val="2"/>
      <w:sz w:val="18"/>
      <w:szCs w:val="18"/>
    </w:rPr>
  </w:style>
  <w:style w:type="character" w:customStyle="1" w:styleId="15">
    <w:name w:val="批注文字 Char"/>
    <w:basedOn w:val="10"/>
    <w:link w:val="2"/>
    <w:qFormat/>
    <w:uiPriority w:val="0"/>
    <w:rPr>
      <w:rFonts w:ascii="Calibri" w:hAnsi="Calibri"/>
      <w:kern w:val="2"/>
      <w:sz w:val="21"/>
      <w:szCs w:val="24"/>
    </w:rPr>
  </w:style>
  <w:style w:type="character" w:customStyle="1" w:styleId="16">
    <w:name w:val="批注主题 Char"/>
    <w:basedOn w:val="15"/>
    <w:link w:val="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903</Words>
  <Characters>5153</Characters>
  <Lines>42</Lines>
  <Paragraphs>12</Paragraphs>
  <TotalTime>23</TotalTime>
  <ScaleCrop>false</ScaleCrop>
  <LinksUpToDate>false</LinksUpToDate>
  <CharactersWithSpaces>6044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2023-09-02T16:34:00Z</dcterms:created>
  <dc:creator>戴罪立功</dc:creator>
  <cp:lastModifiedBy>戴罪立功</cp:lastModifiedBy>
  <cp:lastPrinted>2023-09-07T03:24:00Z</cp:lastPrinted>
  <dcterms:modified xsi:type="dcterms:W3CDTF">2023-10-07T08:40:40Z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8F6A46D54483400A9464B909D2C35E20_13</vt:lpwstr>
  </property>
</Properties>
</file>